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6401" w14:textId="77777777" w:rsidR="00C04705" w:rsidRPr="0054705F" w:rsidRDefault="00C04705" w:rsidP="00C04705">
      <w:pPr>
        <w:spacing w:after="0" w:line="360" w:lineRule="auto"/>
        <w:jc w:val="center"/>
        <w:rPr>
          <w:rFonts w:ascii="Arial" w:hAnsi="Arial" w:cs="Arial"/>
          <w:b/>
          <w:sz w:val="24"/>
          <w:szCs w:val="24"/>
        </w:rPr>
      </w:pPr>
      <w:r w:rsidRPr="0054705F">
        <w:rPr>
          <w:rFonts w:ascii="Arial" w:hAnsi="Arial" w:cs="Arial"/>
          <w:b/>
          <w:sz w:val="24"/>
          <w:szCs w:val="24"/>
        </w:rPr>
        <w:t>Jornada Científica XLI Aniversario del CIMEQ</w:t>
      </w:r>
    </w:p>
    <w:p w14:paraId="6A29CEFC" w14:textId="77777777" w:rsidR="00885736" w:rsidRDefault="00885736">
      <w:pPr>
        <w:spacing w:after="0" w:line="360" w:lineRule="auto"/>
        <w:jc w:val="center"/>
        <w:rPr>
          <w:rFonts w:ascii="Arial" w:hAnsi="Arial" w:cs="Arial"/>
          <w:b/>
          <w:sz w:val="24"/>
          <w:szCs w:val="24"/>
          <w:lang w:val="es-ES"/>
        </w:rPr>
      </w:pPr>
    </w:p>
    <w:p w14:paraId="50D7F22E" w14:textId="569C689F" w:rsidR="00F726BD" w:rsidRPr="00C04705" w:rsidRDefault="00F726BD" w:rsidP="00C04705">
      <w:pPr>
        <w:spacing w:after="0" w:line="240" w:lineRule="auto"/>
        <w:jc w:val="center"/>
        <w:rPr>
          <w:rFonts w:ascii="Arial" w:hAnsi="Arial" w:cs="Arial"/>
          <w:b/>
          <w:sz w:val="24"/>
          <w:szCs w:val="24"/>
          <w:vertAlign w:val="superscript"/>
          <w:lang w:val="es-ES"/>
        </w:rPr>
      </w:pPr>
      <w:r w:rsidRPr="00C04705">
        <w:rPr>
          <w:rFonts w:ascii="Arial" w:hAnsi="Arial" w:cs="Arial"/>
          <w:b/>
          <w:sz w:val="24"/>
          <w:szCs w:val="24"/>
          <w:lang w:val="es-ES"/>
        </w:rPr>
        <w:t>Comorbilidad del trastorno del espectro autista y la epilepsia en edades pediátricas</w:t>
      </w:r>
      <w:r w:rsidR="00C04705">
        <w:rPr>
          <w:rFonts w:ascii="Arial" w:hAnsi="Arial" w:cs="Arial"/>
          <w:b/>
          <w:sz w:val="24"/>
          <w:szCs w:val="24"/>
          <w:vertAlign w:val="superscript"/>
          <w:lang w:val="es-ES"/>
        </w:rPr>
        <w:t>b</w:t>
      </w:r>
    </w:p>
    <w:p w14:paraId="500801FA" w14:textId="77777777" w:rsidR="00C04705" w:rsidRPr="00C04705" w:rsidRDefault="00C04705" w:rsidP="00C04705">
      <w:pPr>
        <w:autoSpaceDE w:val="0"/>
        <w:autoSpaceDN w:val="0"/>
        <w:adjustRightInd w:val="0"/>
        <w:spacing w:after="0" w:line="240" w:lineRule="auto"/>
        <w:jc w:val="center"/>
        <w:rPr>
          <w:rFonts w:ascii="Times New Roman" w:hAnsi="Times New Roman" w:cs="Times New Roman"/>
          <w:color w:val="000000"/>
          <w:sz w:val="24"/>
          <w:szCs w:val="24"/>
          <w:lang w:val="es-ES"/>
        </w:rPr>
      </w:pPr>
    </w:p>
    <w:p w14:paraId="0772BEA8" w14:textId="62B4E425" w:rsidR="00F726BD" w:rsidRPr="00C04705" w:rsidRDefault="00C04705" w:rsidP="00C04705">
      <w:pPr>
        <w:spacing w:after="0" w:line="240" w:lineRule="auto"/>
        <w:jc w:val="center"/>
        <w:rPr>
          <w:rFonts w:ascii="Arial" w:hAnsi="Arial" w:cs="Arial"/>
          <w:i/>
          <w:iCs/>
          <w:color w:val="000000"/>
          <w:sz w:val="24"/>
          <w:szCs w:val="24"/>
          <w:lang w:val="es-ES"/>
        </w:rPr>
      </w:pPr>
      <w:r w:rsidRPr="00C04705">
        <w:rPr>
          <w:rFonts w:ascii="Arial" w:hAnsi="Arial" w:cs="Arial"/>
          <w:i/>
          <w:iCs/>
          <w:color w:val="000000"/>
          <w:sz w:val="24"/>
          <w:szCs w:val="24"/>
          <w:lang w:val="es-ES"/>
        </w:rPr>
        <w:t>Comorbidity of autism spectrum disorder and epilepsy in pediatric ages</w:t>
      </w:r>
    </w:p>
    <w:p w14:paraId="50A15A9F" w14:textId="591E7747" w:rsidR="00C04705" w:rsidRDefault="00C04705" w:rsidP="00C04705">
      <w:pPr>
        <w:spacing w:after="0" w:line="240" w:lineRule="auto"/>
        <w:jc w:val="center"/>
        <w:rPr>
          <w:rFonts w:ascii="Arial" w:hAnsi="Arial" w:cs="Arial"/>
          <w:color w:val="000000"/>
          <w:sz w:val="24"/>
          <w:szCs w:val="24"/>
          <w:lang w:val="es-ES"/>
        </w:rPr>
      </w:pPr>
    </w:p>
    <w:p w14:paraId="00D2BFC1" w14:textId="77777777" w:rsidR="00C04705" w:rsidRPr="00C04705" w:rsidRDefault="00C04705" w:rsidP="00C04705">
      <w:pPr>
        <w:spacing w:after="0" w:line="240" w:lineRule="auto"/>
        <w:jc w:val="center"/>
        <w:rPr>
          <w:rFonts w:ascii="Arial" w:hAnsi="Arial" w:cs="Arial"/>
          <w:sz w:val="24"/>
          <w:szCs w:val="24"/>
          <w:lang w:val="es-419"/>
        </w:rPr>
      </w:pPr>
    </w:p>
    <w:p w14:paraId="40F6A4F1" w14:textId="72DBE734"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Lázaro Ernesto Horta-Martínez</w:t>
      </w:r>
      <w:r w:rsidR="007862FC">
        <w:rPr>
          <w:rFonts w:ascii="Arial" w:hAnsi="Arial" w:cs="Arial"/>
          <w:sz w:val="24"/>
          <w:szCs w:val="24"/>
          <w:lang w:val="es-ES"/>
        </w:rPr>
        <w:t>,</w:t>
      </w:r>
      <w:r w:rsidR="007862FC">
        <w:rPr>
          <w:rFonts w:ascii="Arial" w:hAnsi="Arial" w:cs="Arial"/>
          <w:sz w:val="24"/>
          <w:szCs w:val="24"/>
          <w:vertAlign w:val="superscript"/>
          <w:lang w:val="es-ES"/>
        </w:rPr>
        <w:t>1</w:t>
      </w:r>
      <w:r w:rsidR="007862FC">
        <w:rPr>
          <w:rFonts w:ascii="Arial" w:hAnsi="Arial" w:cs="Arial"/>
          <w:sz w:val="24"/>
          <w:szCs w:val="24"/>
          <w:lang w:val="es-ES"/>
        </w:rPr>
        <w:t xml:space="preserve"> </w:t>
      </w:r>
      <w:r w:rsidRPr="007862FC">
        <w:rPr>
          <w:rFonts w:ascii="Arial" w:hAnsi="Arial" w:cs="Arial"/>
          <w:sz w:val="24"/>
          <w:szCs w:val="24"/>
          <w:lang w:val="es-ES"/>
        </w:rPr>
        <w:t>Hector</w:t>
      </w:r>
      <w:r w:rsidRPr="00B53F3A">
        <w:rPr>
          <w:rFonts w:ascii="Arial" w:hAnsi="Arial" w:cs="Arial"/>
          <w:sz w:val="24"/>
          <w:szCs w:val="24"/>
          <w:lang w:val="es-ES"/>
        </w:rPr>
        <w:t xml:space="preserve"> Julio Piñera-Castro</w:t>
      </w:r>
      <w:r w:rsidR="00C939A3">
        <w:rPr>
          <w:rFonts w:ascii="Arial" w:hAnsi="Arial" w:cs="Arial"/>
          <w:sz w:val="24"/>
          <w:szCs w:val="24"/>
          <w:lang w:val="es-ES"/>
        </w:rPr>
        <w:t>,</w:t>
      </w:r>
      <w:r w:rsidRPr="00B53F3A">
        <w:rPr>
          <w:rFonts w:ascii="Arial" w:hAnsi="Arial" w:cs="Arial"/>
          <w:sz w:val="24"/>
          <w:szCs w:val="24"/>
          <w:vertAlign w:val="superscript"/>
          <w:lang w:val="es-ES"/>
        </w:rPr>
        <w:t>2</w:t>
      </w:r>
      <w:r w:rsidR="007862FC">
        <w:rPr>
          <w:rFonts w:ascii="Arial" w:hAnsi="Arial" w:cs="Arial"/>
          <w:sz w:val="24"/>
          <w:szCs w:val="24"/>
          <w:lang w:val="es-ES"/>
        </w:rPr>
        <w:t xml:space="preserve"> </w:t>
      </w:r>
      <w:r w:rsidRPr="00B53F3A">
        <w:rPr>
          <w:rFonts w:ascii="Arial" w:hAnsi="Arial" w:cs="Arial"/>
          <w:sz w:val="24"/>
          <w:szCs w:val="24"/>
          <w:lang w:val="es-419"/>
        </w:rPr>
        <w:t>Melissa Sorá-Rodríguez</w:t>
      </w:r>
      <w:r w:rsidR="00C939A3">
        <w:rPr>
          <w:rFonts w:ascii="Arial" w:hAnsi="Arial" w:cs="Arial"/>
          <w:sz w:val="24"/>
          <w:szCs w:val="24"/>
          <w:lang w:val="es-419"/>
        </w:rPr>
        <w:t>,</w:t>
      </w:r>
      <w:r w:rsidR="00D52E91">
        <w:rPr>
          <w:rFonts w:ascii="Arial" w:hAnsi="Arial" w:cs="Arial"/>
          <w:sz w:val="24"/>
          <w:szCs w:val="24"/>
          <w:vertAlign w:val="superscript"/>
          <w:lang w:val="es-419"/>
        </w:rPr>
        <w:t>3</w:t>
      </w:r>
      <w:r w:rsidRPr="00B53F3A">
        <w:rPr>
          <w:rFonts w:ascii="Arial" w:hAnsi="Arial" w:cs="Arial"/>
          <w:sz w:val="24"/>
          <w:szCs w:val="24"/>
          <w:vertAlign w:val="superscript"/>
          <w:lang w:val="es-419"/>
        </w:rPr>
        <w:t xml:space="preserve"> </w:t>
      </w:r>
      <w:r w:rsidRPr="00B53F3A">
        <w:rPr>
          <w:rFonts w:ascii="Arial" w:hAnsi="Arial" w:cs="Arial"/>
          <w:sz w:val="24"/>
          <w:szCs w:val="24"/>
          <w:lang w:val="es-ES"/>
        </w:rPr>
        <w:t>Arturo Rodríguez-López</w:t>
      </w:r>
      <w:r w:rsidR="00C939A3">
        <w:rPr>
          <w:rFonts w:ascii="Arial" w:hAnsi="Arial" w:cs="Arial"/>
          <w:sz w:val="24"/>
          <w:szCs w:val="24"/>
          <w:lang w:val="es-ES"/>
        </w:rPr>
        <w:t>,</w:t>
      </w:r>
      <w:r w:rsidR="00D52E91">
        <w:rPr>
          <w:rFonts w:ascii="Arial" w:hAnsi="Arial" w:cs="Arial"/>
          <w:sz w:val="24"/>
          <w:szCs w:val="24"/>
          <w:vertAlign w:val="superscript"/>
          <w:lang w:val="es-ES"/>
        </w:rPr>
        <w:t>4</w:t>
      </w:r>
      <w:r w:rsidRPr="00B53F3A">
        <w:rPr>
          <w:rFonts w:ascii="Arial" w:hAnsi="Arial" w:cs="Arial"/>
          <w:sz w:val="24"/>
          <w:szCs w:val="24"/>
          <w:vertAlign w:val="superscript"/>
          <w:lang w:val="es-ES"/>
        </w:rPr>
        <w:t xml:space="preserve"> </w:t>
      </w:r>
      <w:r w:rsidRPr="00B53F3A">
        <w:rPr>
          <w:rFonts w:ascii="Arial" w:hAnsi="Arial" w:cs="Arial"/>
          <w:sz w:val="24"/>
          <w:szCs w:val="24"/>
          <w:lang w:val="es-ES"/>
        </w:rPr>
        <w:t>Carlos Maragoto-Rizo</w:t>
      </w:r>
      <w:r w:rsidR="00D52E91">
        <w:rPr>
          <w:rFonts w:ascii="Arial" w:hAnsi="Arial" w:cs="Arial"/>
          <w:sz w:val="24"/>
          <w:szCs w:val="24"/>
          <w:vertAlign w:val="superscript"/>
          <w:lang w:val="es-ES"/>
        </w:rPr>
        <w:t>5</w:t>
      </w:r>
      <w:r w:rsidRPr="00B53F3A">
        <w:rPr>
          <w:rFonts w:ascii="Arial" w:hAnsi="Arial" w:cs="Arial"/>
          <w:sz w:val="24"/>
          <w:szCs w:val="24"/>
          <w:vertAlign w:val="superscript"/>
          <w:lang w:val="es-ES"/>
        </w:rPr>
        <w:t xml:space="preserve"> </w:t>
      </w:r>
    </w:p>
    <w:p w14:paraId="51227B94" w14:textId="77777777" w:rsidR="00F726BD" w:rsidRPr="00B53F3A" w:rsidRDefault="00F726BD" w:rsidP="00F726BD">
      <w:pPr>
        <w:spacing w:after="0" w:line="360" w:lineRule="auto"/>
        <w:jc w:val="both"/>
        <w:rPr>
          <w:rFonts w:ascii="Arial" w:hAnsi="Arial" w:cs="Arial"/>
          <w:b/>
          <w:sz w:val="24"/>
          <w:szCs w:val="24"/>
          <w:lang w:val="es-ES"/>
        </w:rPr>
      </w:pPr>
    </w:p>
    <w:p w14:paraId="74725853" w14:textId="29954032" w:rsidR="00D52E91" w:rsidRPr="00D52E91" w:rsidRDefault="00D52E91" w:rsidP="00D52E91">
      <w:pPr>
        <w:spacing w:after="0" w:line="360" w:lineRule="auto"/>
        <w:jc w:val="both"/>
        <w:rPr>
          <w:rStyle w:val="Hipervnculo"/>
          <w:rFonts w:ascii="Arial" w:hAnsi="Arial" w:cs="Arial"/>
          <w:sz w:val="24"/>
          <w:szCs w:val="24"/>
          <w:u w:val="none"/>
        </w:rPr>
      </w:pPr>
      <w:r w:rsidRPr="0054705F">
        <w:rPr>
          <w:rFonts w:ascii="Arial" w:hAnsi="Arial" w:cs="Arial"/>
          <w:sz w:val="24"/>
          <w:szCs w:val="24"/>
          <w:vertAlign w:val="superscript"/>
        </w:rPr>
        <w:t xml:space="preserve">1 </w:t>
      </w:r>
      <w:r w:rsidRPr="0054705F">
        <w:rPr>
          <w:rFonts w:ascii="Arial" w:hAnsi="Arial" w:cs="Arial"/>
          <w:sz w:val="24"/>
          <w:szCs w:val="24"/>
        </w:rPr>
        <w:t xml:space="preserve">Autor. Estudiante de Medicina. </w:t>
      </w:r>
      <w:r>
        <w:rPr>
          <w:rFonts w:ascii="Arial" w:hAnsi="Arial" w:cs="Arial"/>
          <w:sz w:val="24"/>
          <w:szCs w:val="24"/>
        </w:rPr>
        <w:t xml:space="preserve">Alumno Ayudante de Ortopedia y Traumatología. </w:t>
      </w:r>
      <w:r w:rsidRPr="0054705F">
        <w:rPr>
          <w:rFonts w:ascii="Arial" w:hAnsi="Arial" w:cs="Arial"/>
          <w:sz w:val="24"/>
          <w:szCs w:val="24"/>
        </w:rPr>
        <w:t xml:space="preserve">Universidad de Ciencias Médicas de La Habana, Facultad de Ciencias Médicas “10 de Octubre”. La Habana, Cuba. </w:t>
      </w:r>
      <w:r>
        <w:rPr>
          <w:rFonts w:ascii="Arial" w:hAnsi="Arial" w:cs="Arial"/>
          <w:sz w:val="24"/>
          <w:szCs w:val="24"/>
          <w:lang w:val="es-ES"/>
        </w:rPr>
        <w:t xml:space="preserve">ORCID: </w:t>
      </w:r>
      <w:hyperlink r:id="rId8" w:history="1">
        <w:r w:rsidRPr="00D52E91">
          <w:rPr>
            <w:rStyle w:val="Hipervnculo"/>
            <w:rFonts w:ascii="Arial" w:hAnsi="Arial" w:cs="Arial"/>
            <w:sz w:val="24"/>
            <w:szCs w:val="24"/>
            <w:u w:val="none"/>
          </w:rPr>
          <w:t>https://orcid.org/0000-0001-7335-6903</w:t>
        </w:r>
      </w:hyperlink>
    </w:p>
    <w:p w14:paraId="1D136ED2" w14:textId="48A6298F" w:rsidR="00D52E91" w:rsidRDefault="00D52E91" w:rsidP="00D52E91">
      <w:pPr>
        <w:spacing w:after="0" w:line="360" w:lineRule="auto"/>
        <w:jc w:val="both"/>
        <w:rPr>
          <w:rFonts w:ascii="Arial" w:hAnsi="Arial" w:cs="Arial"/>
          <w:sz w:val="24"/>
          <w:szCs w:val="24"/>
          <w:lang w:val="es-ES"/>
        </w:rPr>
      </w:pPr>
      <w:r>
        <w:rPr>
          <w:rFonts w:ascii="Arial" w:hAnsi="Arial" w:cs="Arial"/>
          <w:sz w:val="24"/>
          <w:szCs w:val="24"/>
          <w:vertAlign w:val="superscript"/>
          <w:lang w:val="es-ES"/>
        </w:rPr>
        <w:t xml:space="preserve">2 </w:t>
      </w:r>
      <w:r>
        <w:rPr>
          <w:rFonts w:ascii="Arial" w:hAnsi="Arial" w:cs="Arial"/>
          <w:sz w:val="24"/>
          <w:szCs w:val="24"/>
          <w:lang w:val="es-ES"/>
        </w:rPr>
        <w:t xml:space="preserve">Autor. Estudiante de Medicina. Alumno Ayudante de Neurocirugía. Universidad de Ciencias Médicas de La Habana, Facultad de Ciencias Médicas “Victoria de Girón”. La Habana, Cuba. ORCID: </w:t>
      </w:r>
      <w:hyperlink r:id="rId9" w:history="1">
        <w:r>
          <w:rPr>
            <w:rStyle w:val="Hipervnculo"/>
            <w:rFonts w:ascii="Arial" w:hAnsi="Arial" w:cs="Arial"/>
            <w:sz w:val="24"/>
            <w:szCs w:val="24"/>
            <w:u w:val="none"/>
            <w:lang w:val="es-ES"/>
          </w:rPr>
          <w:t>https://orcid.org/0000-0002-2491-489X</w:t>
        </w:r>
      </w:hyperlink>
    </w:p>
    <w:p w14:paraId="6D95EF39" w14:textId="77777777" w:rsidR="00D52E91" w:rsidRPr="00B53F3A" w:rsidRDefault="00D52E91" w:rsidP="00D52E91">
      <w:pPr>
        <w:spacing w:after="0" w:line="360" w:lineRule="auto"/>
        <w:jc w:val="both"/>
        <w:rPr>
          <w:rFonts w:ascii="Arial" w:hAnsi="Arial" w:cs="Arial"/>
          <w:sz w:val="24"/>
          <w:szCs w:val="24"/>
          <w:lang w:val="es-419"/>
        </w:rPr>
      </w:pPr>
      <w:r>
        <w:rPr>
          <w:rFonts w:ascii="Arial" w:hAnsi="Arial" w:cs="Arial"/>
          <w:sz w:val="24"/>
          <w:szCs w:val="24"/>
          <w:vertAlign w:val="superscript"/>
        </w:rPr>
        <w:t xml:space="preserve">3 </w:t>
      </w:r>
      <w:r>
        <w:rPr>
          <w:rFonts w:ascii="Arial" w:hAnsi="Arial" w:cs="Arial"/>
          <w:sz w:val="24"/>
          <w:szCs w:val="24"/>
        </w:rPr>
        <w:t xml:space="preserve">Autor. Estudiante de Medicina. Alumna Ayudante de Oncología. </w:t>
      </w:r>
      <w:r>
        <w:rPr>
          <w:rFonts w:ascii="Arial" w:hAnsi="Arial" w:cs="Arial"/>
          <w:sz w:val="24"/>
          <w:szCs w:val="24"/>
          <w:lang w:val="es-ES"/>
        </w:rPr>
        <w:t xml:space="preserve">Universidad de Ciencias Médicas de La Habana, Facultad de Ciencias Médicas “Victoria de Girón”. La Habana, Cuba. ORCID: </w:t>
      </w:r>
      <w:hyperlink r:id="rId10" w:history="1">
        <w:r w:rsidRPr="00D52E91">
          <w:rPr>
            <w:rStyle w:val="Hipervnculo"/>
            <w:rFonts w:ascii="Arial" w:hAnsi="Arial" w:cs="Arial"/>
            <w:sz w:val="24"/>
            <w:szCs w:val="24"/>
            <w:u w:val="none"/>
            <w:lang w:val="es-419"/>
          </w:rPr>
          <w:t>https://orcid.org/0000-0002-2657-3267</w:t>
        </w:r>
      </w:hyperlink>
    </w:p>
    <w:p w14:paraId="766508E7" w14:textId="1753822F" w:rsidR="00D52E91" w:rsidRPr="009D7BCE" w:rsidRDefault="009D7BCE" w:rsidP="00D52E91">
      <w:pPr>
        <w:spacing w:after="0" w:line="360" w:lineRule="auto"/>
        <w:jc w:val="both"/>
        <w:rPr>
          <w:rFonts w:ascii="Arial" w:hAnsi="Arial" w:cs="Arial"/>
          <w:sz w:val="24"/>
          <w:szCs w:val="24"/>
        </w:rPr>
      </w:pPr>
      <w:r>
        <w:rPr>
          <w:rFonts w:ascii="Arial" w:hAnsi="Arial" w:cs="Arial"/>
          <w:sz w:val="24"/>
          <w:szCs w:val="24"/>
          <w:vertAlign w:val="superscript"/>
        </w:rPr>
        <w:t>4</w:t>
      </w:r>
      <w:r>
        <w:rPr>
          <w:rFonts w:ascii="Arial" w:hAnsi="Arial" w:cs="Arial"/>
          <w:sz w:val="24"/>
          <w:szCs w:val="24"/>
        </w:rPr>
        <w:t xml:space="preserve">Asesor. Residente de 3er año de Neurología. Centro Internacional de </w:t>
      </w:r>
      <w:r w:rsidRPr="00B53F3A">
        <w:rPr>
          <w:rFonts w:ascii="Arial" w:hAnsi="Arial" w:cs="Arial"/>
          <w:sz w:val="24"/>
          <w:szCs w:val="24"/>
          <w:lang w:val="es-ES"/>
        </w:rPr>
        <w:t>Restauración Neurológica</w:t>
      </w:r>
      <w:r>
        <w:rPr>
          <w:rFonts w:ascii="Arial" w:hAnsi="Arial" w:cs="Arial"/>
          <w:sz w:val="24"/>
          <w:szCs w:val="24"/>
          <w:lang w:val="es-ES"/>
        </w:rPr>
        <w:t xml:space="preserve">. La Habana, Cuba. ORCID: </w:t>
      </w:r>
      <w:hyperlink r:id="rId11" w:history="1">
        <w:r w:rsidRPr="009D7BCE">
          <w:rPr>
            <w:rStyle w:val="Hipervnculo"/>
            <w:rFonts w:ascii="Arial" w:hAnsi="Arial" w:cs="Arial"/>
            <w:sz w:val="24"/>
            <w:szCs w:val="24"/>
            <w:u w:val="none"/>
            <w:lang w:val="es-ES"/>
          </w:rPr>
          <w:t>https://orcid.org/0000-0002-4079-9545</w:t>
        </w:r>
      </w:hyperlink>
    </w:p>
    <w:p w14:paraId="79419E43" w14:textId="77777777" w:rsidR="009D7BCE" w:rsidRPr="00B53F3A" w:rsidRDefault="009D7BCE" w:rsidP="009D7BCE">
      <w:pPr>
        <w:spacing w:after="0" w:line="360" w:lineRule="auto"/>
        <w:jc w:val="both"/>
        <w:rPr>
          <w:rFonts w:ascii="Arial" w:hAnsi="Arial" w:cs="Arial"/>
          <w:sz w:val="24"/>
          <w:szCs w:val="24"/>
          <w:lang w:val="es-ES"/>
        </w:rPr>
      </w:pPr>
      <w:r>
        <w:rPr>
          <w:rFonts w:ascii="Arial" w:hAnsi="Arial" w:cs="Arial"/>
          <w:sz w:val="24"/>
          <w:szCs w:val="24"/>
          <w:vertAlign w:val="superscript"/>
          <w:lang w:val="es-ES"/>
        </w:rPr>
        <w:t>5</w:t>
      </w:r>
      <w:r>
        <w:rPr>
          <w:rFonts w:ascii="Arial" w:hAnsi="Arial" w:cs="Arial"/>
          <w:sz w:val="24"/>
          <w:szCs w:val="24"/>
          <w:lang w:val="es-ES"/>
        </w:rPr>
        <w:t xml:space="preserve">Tutor. Máster en Genética Médica. Especialista en Segundo Grado de Neurología. Investigador agregado. Profesor Auxiliar. </w:t>
      </w:r>
      <w:r w:rsidR="00F726BD" w:rsidRPr="009D7BCE">
        <w:rPr>
          <w:rFonts w:ascii="Arial" w:hAnsi="Arial" w:cs="Arial"/>
          <w:sz w:val="24"/>
          <w:szCs w:val="24"/>
          <w:lang w:val="es-ES"/>
        </w:rPr>
        <w:t>Centro</w:t>
      </w:r>
      <w:r w:rsidR="00F726BD" w:rsidRPr="00B53F3A">
        <w:rPr>
          <w:rFonts w:ascii="Arial" w:hAnsi="Arial" w:cs="Arial"/>
          <w:sz w:val="24"/>
          <w:szCs w:val="24"/>
          <w:lang w:val="es-ES"/>
        </w:rPr>
        <w:t xml:space="preserve"> Internacional de Restauración Neurológica. La Habana, Cuba.</w:t>
      </w:r>
      <w:r>
        <w:rPr>
          <w:rFonts w:ascii="Arial" w:hAnsi="Arial" w:cs="Arial"/>
          <w:sz w:val="24"/>
          <w:szCs w:val="24"/>
          <w:lang w:val="es-ES"/>
        </w:rPr>
        <w:t xml:space="preserve"> ORCID</w:t>
      </w:r>
      <w:r w:rsidRPr="009D7BCE">
        <w:rPr>
          <w:rFonts w:ascii="Arial" w:hAnsi="Arial" w:cs="Arial"/>
          <w:sz w:val="24"/>
          <w:szCs w:val="24"/>
          <w:lang w:val="es-ES"/>
        </w:rPr>
        <w:t xml:space="preserve">: </w:t>
      </w:r>
      <w:hyperlink r:id="rId12" w:history="1">
        <w:r w:rsidRPr="009D7BCE">
          <w:rPr>
            <w:rStyle w:val="Hipervnculo"/>
            <w:rFonts w:ascii="Arial" w:hAnsi="Arial" w:cs="Arial"/>
            <w:sz w:val="24"/>
            <w:szCs w:val="24"/>
            <w:u w:val="none"/>
            <w:lang w:val="es-ES"/>
          </w:rPr>
          <w:t>https://orcid.org/0000-0002-1618-5105</w:t>
        </w:r>
      </w:hyperlink>
    </w:p>
    <w:p w14:paraId="4445F9C5" w14:textId="65617197" w:rsidR="00F726BD" w:rsidRPr="00B53F3A" w:rsidRDefault="00F726BD" w:rsidP="00F726BD">
      <w:pPr>
        <w:spacing w:after="0" w:line="360" w:lineRule="auto"/>
        <w:jc w:val="both"/>
        <w:rPr>
          <w:rFonts w:ascii="Arial" w:hAnsi="Arial" w:cs="Arial"/>
          <w:sz w:val="24"/>
          <w:szCs w:val="24"/>
          <w:lang w:val="es-ES"/>
        </w:rPr>
      </w:pPr>
    </w:p>
    <w:p w14:paraId="4E634B53" w14:textId="57935CB9" w:rsidR="00F726BD" w:rsidRPr="00251DCC" w:rsidRDefault="007862FC" w:rsidP="00F726BD">
      <w:pPr>
        <w:spacing w:after="0" w:line="360" w:lineRule="auto"/>
        <w:jc w:val="both"/>
        <w:rPr>
          <w:rFonts w:ascii="Arial" w:hAnsi="Arial" w:cs="Arial"/>
          <w:sz w:val="24"/>
          <w:szCs w:val="24"/>
          <w:lang w:val="es-ES"/>
        </w:rPr>
      </w:pPr>
      <w:r>
        <w:rPr>
          <w:rFonts w:ascii="Arial" w:hAnsi="Arial" w:cs="Arial"/>
          <w:sz w:val="24"/>
          <w:szCs w:val="24"/>
          <w:lang w:val="es-ES"/>
        </w:rPr>
        <w:t>C</w:t>
      </w:r>
      <w:r w:rsidR="00F726BD" w:rsidRPr="00B53F3A">
        <w:rPr>
          <w:rFonts w:ascii="Arial" w:hAnsi="Arial" w:cs="Arial"/>
          <w:sz w:val="24"/>
          <w:szCs w:val="24"/>
          <w:lang w:val="es-ES"/>
        </w:rPr>
        <w:t xml:space="preserve">orrespondencia: </w:t>
      </w:r>
      <w:r w:rsidR="00360C55" w:rsidRPr="00360C55">
        <w:rPr>
          <w:rFonts w:ascii="Arial" w:hAnsi="Arial" w:cs="Arial"/>
          <w:color w:val="000000" w:themeColor="text1"/>
          <w:sz w:val="24"/>
          <w:szCs w:val="24"/>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r:id="rId13" w:history="1">
        <w:r w:rsidR="00360C55" w:rsidRPr="00360C55">
          <w:rPr>
            <w:rStyle w:val="Hipervnculo"/>
            <w:rFonts w:ascii="Arial" w:hAnsi="Arial" w:cs="Arial"/>
            <w:sz w:val="24"/>
            <w:szCs w:val="24"/>
            <w:u w:val="none"/>
          </w:rPr>
          <w:t>lazarohorta4@gmail.com</w:t>
        </w:r>
      </w:hyperlink>
      <w:r w:rsidR="00251DCC" w:rsidRPr="00251DCC">
        <w:rPr>
          <w:rStyle w:val="Hipervnculo"/>
          <w:rFonts w:ascii="Arial" w:hAnsi="Arial" w:cs="Arial"/>
          <w:sz w:val="24"/>
          <w:szCs w:val="24"/>
          <w:u w:val="none"/>
        </w:rPr>
        <w:t xml:space="preserve"> </w:t>
      </w:r>
      <w:r w:rsidR="00360C55" w:rsidRPr="00360C55">
        <w:rPr>
          <w:rStyle w:val="Hipervnculo"/>
          <w:rFonts w:ascii="Arial" w:hAnsi="Arial" w:cs="Arial"/>
          <w:color w:val="0D0D0D" w:themeColor="text1" w:themeTint="F2"/>
          <w:sz w:val="24"/>
          <w:szCs w:val="24"/>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r:id="rId14" w:history="1">
        <w:r w:rsidR="00360C55" w:rsidRPr="00360C55">
          <w:rPr>
            <w:rStyle w:val="Hipervnculo"/>
            <w:rFonts w:ascii="Arial" w:hAnsi="Arial" w:cs="Arial"/>
            <w:sz w:val="24"/>
            <w:szCs w:val="24"/>
            <w:u w:val="none"/>
            <w:lang w:val="es-ES"/>
          </w:rPr>
          <w:t>hectorpinera18100@gmail.com</w:t>
        </w:r>
      </w:hyperlink>
      <w:r w:rsidR="00360C55">
        <w:rPr>
          <w:rStyle w:val="Hipervnculo"/>
          <w:rFonts w:ascii="Arial" w:hAnsi="Arial" w:cs="Arial"/>
          <w:sz w:val="24"/>
          <w:szCs w:val="24"/>
          <w:u w:val="none"/>
          <w:vertAlign w:val="superscript"/>
          <w:lang w:val="es-ES"/>
        </w:rPr>
        <w:t xml:space="preserve"> </w:t>
      </w:r>
      <w:hyperlink r:id="rId15" w:history="1">
        <w:r w:rsidR="00360C55" w:rsidRPr="00360C55">
          <w:rPr>
            <w:rStyle w:val="Hipervnculo"/>
            <w:rFonts w:ascii="Arial" w:hAnsi="Arial" w:cs="Arial"/>
            <w:color w:val="000000" w:themeColor="text1"/>
            <w:sz w:val="24"/>
            <w:szCs w:val="24"/>
            <w:u w:val="none"/>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360C55" w:rsidRPr="00360C55">
          <w:rPr>
            <w:rStyle w:val="Hipervnculo"/>
            <w:rFonts w:ascii="Arial" w:hAnsi="Arial" w:cs="Arial"/>
            <w:sz w:val="24"/>
            <w:szCs w:val="24"/>
            <w:u w:val="none"/>
            <w:lang w:val="es-ES"/>
          </w:rPr>
          <w:t>melsora0916@gmail.com</w:t>
        </w:r>
      </w:hyperlink>
      <w:r w:rsidR="00360C55">
        <w:rPr>
          <w:rStyle w:val="Hipervnculo"/>
          <w:rFonts w:ascii="Arial" w:hAnsi="Arial" w:cs="Arial"/>
          <w:sz w:val="24"/>
          <w:szCs w:val="24"/>
          <w:u w:val="none"/>
          <w:lang w:val="es-ES"/>
        </w:rPr>
        <w:t xml:space="preserve">  </w:t>
      </w:r>
      <w:hyperlink r:id="rId16" w:history="1">
        <w:r w:rsidR="00360C55" w:rsidRPr="00360C55">
          <w:rPr>
            <w:rStyle w:val="Hipervnculo"/>
            <w:rFonts w:ascii="Arial" w:hAnsi="Arial" w:cs="Arial"/>
            <w:color w:val="000000" w:themeColor="text1"/>
            <w:sz w:val="24"/>
            <w:szCs w:val="24"/>
            <w:u w:val="none"/>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60C55" w:rsidRPr="00360C55">
          <w:rPr>
            <w:rStyle w:val="Hipervnculo"/>
            <w:rFonts w:ascii="Arial" w:hAnsi="Arial" w:cs="Arial"/>
            <w:sz w:val="24"/>
            <w:szCs w:val="24"/>
            <w:u w:val="none"/>
            <w:lang w:val="es-ES"/>
          </w:rPr>
          <w:t>r2d2rodlop</w:t>
        </w:r>
        <w:r w:rsidR="00360C55" w:rsidRPr="00360C55">
          <w:rPr>
            <w:rStyle w:val="Hipervnculo"/>
            <w:rFonts w:ascii="Arial" w:hAnsi="Arial" w:cs="Arial"/>
            <w:sz w:val="24"/>
            <w:szCs w:val="24"/>
            <w:u w:val="none"/>
            <w:lang w:val="es-ES"/>
          </w:rPr>
          <w:t>@gmail.com</w:t>
        </w:r>
      </w:hyperlink>
      <w:r w:rsidR="00360C55">
        <w:rPr>
          <w:rStyle w:val="Hipervnculo"/>
          <w:rFonts w:ascii="Arial" w:hAnsi="Arial" w:cs="Arial"/>
          <w:sz w:val="24"/>
          <w:szCs w:val="24"/>
          <w:u w:val="none"/>
          <w:lang w:val="es-ES"/>
        </w:rPr>
        <w:t xml:space="preserve">   </w:t>
      </w:r>
      <w:r w:rsidR="00360C55" w:rsidRPr="00360C55">
        <w:rPr>
          <w:rStyle w:val="Hipervnculo"/>
          <w:rFonts w:ascii="Arial" w:hAnsi="Arial" w:cs="Arial"/>
          <w:color w:val="000000" w:themeColor="text1"/>
          <w:sz w:val="24"/>
          <w:szCs w:val="24"/>
          <w:u w:val="none"/>
          <w:vertAlign w:val="superscript"/>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360C55">
        <w:rPr>
          <w:rStyle w:val="Hipervnculo"/>
          <w:rFonts w:ascii="Arial" w:hAnsi="Arial" w:cs="Arial"/>
          <w:sz w:val="24"/>
          <w:szCs w:val="24"/>
          <w:u w:val="none"/>
          <w:lang w:val="es-ES"/>
        </w:rPr>
        <w:t>carlosmgto2019</w:t>
      </w:r>
      <w:r w:rsidR="00360C55" w:rsidRPr="00360C55">
        <w:rPr>
          <w:rStyle w:val="Hipervnculo"/>
          <w:rFonts w:ascii="Arial" w:hAnsi="Arial" w:cs="Arial"/>
          <w:sz w:val="24"/>
          <w:szCs w:val="24"/>
          <w:u w:val="none"/>
          <w:lang w:val="es-ES"/>
        </w:rPr>
        <w:t>@gmail.com</w:t>
      </w:r>
    </w:p>
    <w:p w14:paraId="524D846C" w14:textId="77777777" w:rsidR="00F726BD" w:rsidRPr="00B53F3A" w:rsidRDefault="00F726BD" w:rsidP="00F726BD">
      <w:pPr>
        <w:spacing w:after="0" w:line="360" w:lineRule="auto"/>
        <w:jc w:val="both"/>
        <w:rPr>
          <w:rFonts w:ascii="Arial" w:hAnsi="Arial" w:cs="Arial"/>
          <w:b/>
          <w:sz w:val="24"/>
          <w:szCs w:val="24"/>
          <w:lang w:val="es-ES"/>
        </w:rPr>
      </w:pPr>
    </w:p>
    <w:p w14:paraId="02DDF1D7" w14:textId="77777777" w:rsidR="00F726BD" w:rsidRPr="00B53F3A" w:rsidRDefault="00F726BD" w:rsidP="00F726BD">
      <w:pPr>
        <w:spacing w:after="0" w:line="360" w:lineRule="auto"/>
        <w:jc w:val="both"/>
        <w:rPr>
          <w:rFonts w:ascii="Arial" w:hAnsi="Arial" w:cs="Arial"/>
          <w:b/>
          <w:sz w:val="24"/>
          <w:szCs w:val="24"/>
          <w:lang w:val="es-ES"/>
        </w:rPr>
      </w:pPr>
      <w:r w:rsidRPr="00B53F3A">
        <w:rPr>
          <w:rFonts w:ascii="Arial" w:hAnsi="Arial" w:cs="Arial"/>
          <w:b/>
          <w:sz w:val="24"/>
          <w:szCs w:val="24"/>
          <w:lang w:val="es-ES"/>
        </w:rPr>
        <w:t>RESUMEN</w:t>
      </w:r>
    </w:p>
    <w:p w14:paraId="0CE23C33" w14:textId="5821348C" w:rsidR="00F726BD" w:rsidRPr="00B53F3A" w:rsidRDefault="00F726BD" w:rsidP="00F726BD">
      <w:pPr>
        <w:tabs>
          <w:tab w:val="left" w:pos="5748"/>
        </w:tabs>
        <w:spacing w:after="0" w:line="360" w:lineRule="auto"/>
        <w:jc w:val="both"/>
        <w:rPr>
          <w:rFonts w:ascii="Arial" w:hAnsi="Arial" w:cs="Arial"/>
          <w:sz w:val="24"/>
          <w:szCs w:val="24"/>
          <w:lang w:val="es-ES"/>
        </w:rPr>
      </w:pPr>
      <w:r w:rsidRPr="00B53F3A">
        <w:rPr>
          <w:rFonts w:ascii="Arial" w:hAnsi="Arial" w:cs="Arial"/>
          <w:b/>
          <w:sz w:val="24"/>
          <w:szCs w:val="24"/>
          <w:lang w:val="es-ES"/>
        </w:rPr>
        <w:t>Introducción:</w:t>
      </w:r>
      <w:r w:rsidRPr="00B53F3A">
        <w:rPr>
          <w:rFonts w:ascii="Arial" w:hAnsi="Arial" w:cs="Arial"/>
          <w:sz w:val="24"/>
          <w:szCs w:val="24"/>
          <w:lang w:val="es-ES"/>
        </w:rPr>
        <w:t xml:space="preserve"> </w:t>
      </w:r>
      <w:r w:rsidR="009D7BCE">
        <w:rPr>
          <w:rFonts w:ascii="Arial" w:hAnsi="Arial" w:cs="Arial"/>
          <w:sz w:val="24"/>
          <w:szCs w:val="24"/>
          <w:lang w:val="es-ES"/>
        </w:rPr>
        <w:t>l</w:t>
      </w:r>
      <w:r w:rsidRPr="00B53F3A">
        <w:rPr>
          <w:rFonts w:ascii="Arial" w:hAnsi="Arial" w:cs="Arial"/>
          <w:sz w:val="24"/>
          <w:szCs w:val="24"/>
          <w:lang w:val="es-ES"/>
        </w:rPr>
        <w:t xml:space="preserve">a comorbilidad entre la epilepsia y el trastorno del espectro autista alcanza un alto porcentaje de presentación en pacientes pediátricos. </w:t>
      </w:r>
      <w:r w:rsidRPr="00B53F3A">
        <w:rPr>
          <w:rFonts w:ascii="Arial" w:hAnsi="Arial" w:cs="Arial"/>
          <w:b/>
          <w:sz w:val="24"/>
          <w:szCs w:val="24"/>
          <w:lang w:val="es-ES"/>
        </w:rPr>
        <w:t>Objetivo:</w:t>
      </w:r>
      <w:r w:rsidRPr="00B53F3A">
        <w:rPr>
          <w:rFonts w:ascii="Arial" w:hAnsi="Arial" w:cs="Arial"/>
          <w:sz w:val="24"/>
          <w:szCs w:val="24"/>
          <w:lang w:val="es-ES"/>
        </w:rPr>
        <w:t xml:space="preserve"> </w:t>
      </w:r>
      <w:r w:rsidR="009D7BCE">
        <w:rPr>
          <w:rFonts w:ascii="Arial" w:hAnsi="Arial" w:cs="Arial"/>
          <w:sz w:val="24"/>
          <w:szCs w:val="24"/>
          <w:lang w:val="es-ES"/>
        </w:rPr>
        <w:t>c</w:t>
      </w:r>
      <w:r w:rsidRPr="00B53F3A">
        <w:rPr>
          <w:rFonts w:ascii="Arial" w:hAnsi="Arial" w:cs="Arial"/>
          <w:sz w:val="24"/>
          <w:szCs w:val="24"/>
          <w:lang w:val="es-ES"/>
        </w:rPr>
        <w:t>aracterizar la comorbilidad del trastorno del espectro autista y la epilepsia en pacientes pediátricos.</w:t>
      </w:r>
    </w:p>
    <w:p w14:paraId="3328FC10" w14:textId="55E77973" w:rsidR="00F726BD" w:rsidRPr="00B53F3A" w:rsidRDefault="00F726BD" w:rsidP="007862FC">
      <w:pPr>
        <w:tabs>
          <w:tab w:val="left" w:pos="5748"/>
        </w:tabs>
        <w:spacing w:after="0" w:line="360" w:lineRule="auto"/>
        <w:jc w:val="both"/>
        <w:rPr>
          <w:rFonts w:ascii="Arial" w:hAnsi="Arial" w:cs="Arial"/>
          <w:sz w:val="24"/>
          <w:szCs w:val="24"/>
          <w:lang w:val="es-ES"/>
        </w:rPr>
      </w:pPr>
      <w:r w:rsidRPr="00B53F3A">
        <w:rPr>
          <w:rFonts w:ascii="Arial" w:hAnsi="Arial" w:cs="Arial"/>
          <w:b/>
          <w:sz w:val="24"/>
          <w:szCs w:val="24"/>
          <w:lang w:val="es-ES"/>
        </w:rPr>
        <w:lastRenderedPageBreak/>
        <w:t>Métodos:</w:t>
      </w:r>
      <w:r w:rsidRPr="00B53F3A">
        <w:rPr>
          <w:rFonts w:ascii="Arial" w:hAnsi="Arial" w:cs="Arial"/>
          <w:sz w:val="24"/>
          <w:szCs w:val="24"/>
          <w:lang w:val="es-ES"/>
        </w:rPr>
        <w:t xml:space="preserve"> </w:t>
      </w:r>
      <w:r w:rsidR="009D7BCE">
        <w:rPr>
          <w:rFonts w:ascii="Arial" w:hAnsi="Arial" w:cs="Arial"/>
          <w:sz w:val="24"/>
          <w:szCs w:val="24"/>
          <w:lang w:val="es-ES"/>
        </w:rPr>
        <w:t>e</w:t>
      </w:r>
      <w:r w:rsidRPr="00B53F3A">
        <w:rPr>
          <w:rFonts w:ascii="Arial" w:hAnsi="Arial" w:cs="Arial"/>
          <w:sz w:val="24"/>
          <w:szCs w:val="24"/>
          <w:lang w:val="es-ES"/>
        </w:rPr>
        <w:t>studio observacional, descriptivo, de corte transversal, en una población de 23 sujetos.</w:t>
      </w:r>
      <w:r w:rsidR="007862FC">
        <w:rPr>
          <w:rFonts w:ascii="Arial" w:hAnsi="Arial" w:cs="Arial"/>
          <w:sz w:val="24"/>
          <w:szCs w:val="24"/>
          <w:lang w:val="es-ES"/>
        </w:rPr>
        <w:t xml:space="preserve"> </w:t>
      </w:r>
      <w:r w:rsidRPr="00B53F3A">
        <w:rPr>
          <w:rFonts w:ascii="Arial" w:hAnsi="Arial" w:cs="Arial"/>
          <w:b/>
          <w:sz w:val="24"/>
          <w:szCs w:val="24"/>
          <w:lang w:val="es-ES"/>
        </w:rPr>
        <w:t>Resultados:</w:t>
      </w:r>
      <w:r w:rsidRPr="00B53F3A">
        <w:rPr>
          <w:rFonts w:ascii="Arial" w:hAnsi="Arial" w:cs="Arial"/>
          <w:sz w:val="24"/>
          <w:szCs w:val="24"/>
          <w:lang w:val="es-ES"/>
        </w:rPr>
        <w:t xml:space="preserve"> </w:t>
      </w:r>
      <w:r w:rsidR="009D7BCE">
        <w:rPr>
          <w:rFonts w:ascii="Arial" w:hAnsi="Arial" w:cs="Arial"/>
          <w:sz w:val="24"/>
          <w:szCs w:val="24"/>
          <w:lang w:val="es-ES"/>
        </w:rPr>
        <w:t>p</w:t>
      </w:r>
      <w:r w:rsidRPr="00B53F3A">
        <w:rPr>
          <w:rFonts w:ascii="Arial" w:hAnsi="Arial" w:cs="Arial"/>
          <w:sz w:val="24"/>
          <w:szCs w:val="24"/>
          <w:lang w:val="es-ES"/>
        </w:rPr>
        <w:t xml:space="preserve">redominaron los pacientes del sexo femenino (n = 14; 60,9 %). La totalidad de los individuos acudió a la primera consulta, fue diagnosticado con trastorno del espectro autista y sufrió la primera crisis epiléptica con 9 años de edad o menos. El 78,3 % (n = 18) nació entre las 38 y 42 semanas de gestación, y el 65,2 % (n = 15) fue diagnosticado con trastorno de déficit intelectual. Lo más común fue la inexistencia de factores de riesgo (n = 14; 60,9 %). Las crisis epilépticas generalizadas fueron las más frecuentes (n = 12; 52,17 %). Los individuos con trastorno del espectro autista congénito (n = 16; 69,57 %) e idiopático (n = 8; 64,78) predominaron. En el 56,5 % (n = 13), la primera crisis epiléptica antecedió al diagnóstico del trastorno del espectro autista. </w:t>
      </w:r>
      <w:r w:rsidRPr="00B53F3A">
        <w:rPr>
          <w:rFonts w:ascii="Arial" w:hAnsi="Arial" w:cs="Arial"/>
          <w:b/>
          <w:sz w:val="24"/>
          <w:szCs w:val="24"/>
          <w:lang w:val="es-ES"/>
        </w:rPr>
        <w:t>Conclusiones:</w:t>
      </w:r>
      <w:r w:rsidRPr="00B53F3A">
        <w:rPr>
          <w:rFonts w:ascii="Arial" w:hAnsi="Arial" w:cs="Arial"/>
          <w:sz w:val="24"/>
          <w:szCs w:val="24"/>
          <w:lang w:val="es-ES"/>
        </w:rPr>
        <w:t xml:space="preserve"> </w:t>
      </w:r>
      <w:r w:rsidR="009D7BCE">
        <w:rPr>
          <w:rFonts w:ascii="Arial" w:hAnsi="Arial" w:cs="Arial"/>
          <w:bCs/>
          <w:sz w:val="24"/>
          <w:szCs w:val="24"/>
          <w:lang w:val="es-ES"/>
        </w:rPr>
        <w:t>e</w:t>
      </w:r>
      <w:r w:rsidRPr="00B53F3A">
        <w:rPr>
          <w:rFonts w:ascii="Arial" w:hAnsi="Arial" w:cs="Arial"/>
          <w:sz w:val="24"/>
          <w:szCs w:val="24"/>
          <w:lang w:val="es-ES"/>
        </w:rPr>
        <w:t xml:space="preserve">n la población estudiada, la comorbilidad entre epilepsia y TEA se produce fundamentalmente en el sexo femenino, antes de la primera década de la vida, con coexistencia de un trastorno de déficit intelectual y la ausencia de factores de riesgo, en el contexto de crisis epilépticas generalizadas y un TEA congénito, profundo, idiopático y con diagnóstico posterior al de la epilepsia. </w:t>
      </w:r>
    </w:p>
    <w:p w14:paraId="2371C0C8" w14:textId="113469A1" w:rsidR="00F726BD" w:rsidRPr="00B53F3A" w:rsidRDefault="00F726BD" w:rsidP="00F726BD">
      <w:pPr>
        <w:tabs>
          <w:tab w:val="left" w:pos="5748"/>
        </w:tabs>
        <w:spacing w:after="0" w:line="360" w:lineRule="auto"/>
        <w:jc w:val="both"/>
        <w:rPr>
          <w:rFonts w:ascii="Arial" w:hAnsi="Arial" w:cs="Arial"/>
          <w:sz w:val="24"/>
          <w:szCs w:val="24"/>
          <w:lang w:val="es-ES"/>
        </w:rPr>
      </w:pPr>
      <w:r w:rsidRPr="00B53F3A">
        <w:rPr>
          <w:rFonts w:ascii="Arial" w:hAnsi="Arial" w:cs="Arial"/>
          <w:b/>
          <w:sz w:val="24"/>
          <w:szCs w:val="24"/>
          <w:lang w:val="es-ES"/>
        </w:rPr>
        <w:t xml:space="preserve">Palabras clave: </w:t>
      </w:r>
      <w:r w:rsidR="009D7BCE">
        <w:rPr>
          <w:rFonts w:ascii="Arial" w:hAnsi="Arial" w:cs="Arial"/>
          <w:sz w:val="24"/>
          <w:szCs w:val="24"/>
          <w:lang w:val="es-ES"/>
        </w:rPr>
        <w:t>e</w:t>
      </w:r>
      <w:r w:rsidRPr="00B53F3A">
        <w:rPr>
          <w:rFonts w:ascii="Arial" w:hAnsi="Arial" w:cs="Arial"/>
          <w:sz w:val="24"/>
          <w:szCs w:val="24"/>
          <w:lang w:val="es-ES"/>
        </w:rPr>
        <w:t>pilepsia; trastorno del espectro autista; pediatría; enfermedades del sistema nervioso; convulsiones.</w:t>
      </w:r>
    </w:p>
    <w:p w14:paraId="5DFD8BFA" w14:textId="77777777" w:rsidR="00F726BD" w:rsidRPr="00B53F3A" w:rsidRDefault="00F726BD" w:rsidP="00F726BD">
      <w:pPr>
        <w:spacing w:after="0" w:line="360" w:lineRule="auto"/>
        <w:jc w:val="both"/>
        <w:rPr>
          <w:rFonts w:ascii="Arial" w:hAnsi="Arial" w:cs="Arial"/>
          <w:b/>
          <w:sz w:val="24"/>
          <w:szCs w:val="24"/>
          <w:lang w:val="es-ES"/>
        </w:rPr>
      </w:pPr>
    </w:p>
    <w:p w14:paraId="74E1D014" w14:textId="77777777" w:rsidR="007862FC" w:rsidRDefault="007862FC" w:rsidP="00F726BD">
      <w:pPr>
        <w:spacing w:after="0" w:line="360" w:lineRule="auto"/>
        <w:jc w:val="both"/>
        <w:rPr>
          <w:rFonts w:ascii="Arial" w:hAnsi="Arial" w:cs="Arial"/>
          <w:b/>
          <w:bCs/>
          <w:sz w:val="24"/>
          <w:szCs w:val="24"/>
          <w:lang w:val="es-ES"/>
        </w:rPr>
      </w:pPr>
      <w:r w:rsidRPr="007862FC">
        <w:rPr>
          <w:rFonts w:ascii="Arial" w:hAnsi="Arial" w:cs="Arial"/>
          <w:b/>
          <w:bCs/>
          <w:sz w:val="24"/>
          <w:szCs w:val="24"/>
          <w:lang w:val="es-ES"/>
        </w:rPr>
        <w:t xml:space="preserve">ABSTRACT </w:t>
      </w:r>
    </w:p>
    <w:p w14:paraId="4DC96B00" w14:textId="4F87DB15" w:rsidR="007862FC" w:rsidRPr="007862FC" w:rsidRDefault="007862FC" w:rsidP="007862FC">
      <w:pPr>
        <w:spacing w:after="0" w:line="360" w:lineRule="auto"/>
        <w:jc w:val="both"/>
        <w:rPr>
          <w:rFonts w:ascii="Arial" w:hAnsi="Arial" w:cs="Arial"/>
          <w:sz w:val="24"/>
          <w:szCs w:val="24"/>
          <w:lang w:val="es-ES"/>
        </w:rPr>
      </w:pPr>
      <w:r w:rsidRPr="007862FC">
        <w:rPr>
          <w:rFonts w:ascii="Arial" w:hAnsi="Arial" w:cs="Arial"/>
          <w:b/>
          <w:bCs/>
          <w:sz w:val="24"/>
          <w:szCs w:val="24"/>
          <w:lang w:val="es-ES"/>
        </w:rPr>
        <w:t>Introduction:</w:t>
      </w:r>
      <w:r w:rsidRPr="007862FC">
        <w:rPr>
          <w:rFonts w:ascii="Arial" w:hAnsi="Arial" w:cs="Arial"/>
          <w:sz w:val="24"/>
          <w:szCs w:val="24"/>
          <w:lang w:val="es-ES"/>
        </w:rPr>
        <w:t xml:space="preserve"> </w:t>
      </w:r>
      <w:r w:rsidR="009D7BCE">
        <w:rPr>
          <w:rFonts w:ascii="Arial" w:hAnsi="Arial" w:cs="Arial"/>
          <w:sz w:val="24"/>
          <w:szCs w:val="24"/>
          <w:lang w:val="es-ES"/>
        </w:rPr>
        <w:t>t</w:t>
      </w:r>
      <w:r w:rsidRPr="007862FC">
        <w:rPr>
          <w:rFonts w:ascii="Arial" w:hAnsi="Arial" w:cs="Arial"/>
          <w:sz w:val="24"/>
          <w:szCs w:val="24"/>
          <w:lang w:val="es-ES"/>
        </w:rPr>
        <w:t xml:space="preserve">he comorbidity between epilepsy and autism spectrum disorder reaches a high percentage of pediatric patients. </w:t>
      </w:r>
      <w:r w:rsidRPr="007862FC">
        <w:rPr>
          <w:rFonts w:ascii="Arial" w:hAnsi="Arial" w:cs="Arial"/>
          <w:b/>
          <w:bCs/>
          <w:sz w:val="24"/>
          <w:szCs w:val="24"/>
          <w:lang w:val="es-ES"/>
        </w:rPr>
        <w:t>Objective:</w:t>
      </w:r>
      <w:r w:rsidRPr="007862FC">
        <w:rPr>
          <w:rFonts w:ascii="Arial" w:hAnsi="Arial" w:cs="Arial"/>
          <w:sz w:val="24"/>
          <w:szCs w:val="24"/>
          <w:lang w:val="es-ES"/>
        </w:rPr>
        <w:t xml:space="preserve"> </w:t>
      </w:r>
      <w:r w:rsidR="009D7BCE">
        <w:rPr>
          <w:rFonts w:ascii="Arial" w:hAnsi="Arial" w:cs="Arial"/>
          <w:sz w:val="24"/>
          <w:szCs w:val="24"/>
          <w:lang w:val="es-ES"/>
        </w:rPr>
        <w:t>t</w:t>
      </w:r>
      <w:r w:rsidRPr="007862FC">
        <w:rPr>
          <w:rFonts w:ascii="Arial" w:hAnsi="Arial" w:cs="Arial"/>
          <w:sz w:val="24"/>
          <w:szCs w:val="24"/>
          <w:lang w:val="es-ES"/>
        </w:rPr>
        <w:t xml:space="preserve">o characterize the comorbidity of autism spectrum disorder and epilepsy in pediatric patients. </w:t>
      </w:r>
      <w:r w:rsidRPr="007862FC">
        <w:rPr>
          <w:rFonts w:ascii="Arial" w:hAnsi="Arial" w:cs="Arial"/>
          <w:b/>
          <w:bCs/>
          <w:sz w:val="24"/>
          <w:szCs w:val="24"/>
          <w:lang w:val="es-ES"/>
        </w:rPr>
        <w:t>Methods:</w:t>
      </w:r>
      <w:r w:rsidRPr="007862FC">
        <w:rPr>
          <w:rFonts w:ascii="Arial" w:hAnsi="Arial" w:cs="Arial"/>
          <w:sz w:val="24"/>
          <w:szCs w:val="24"/>
          <w:lang w:val="es-ES"/>
        </w:rPr>
        <w:t xml:space="preserve"> </w:t>
      </w:r>
      <w:r w:rsidR="009D7BCE">
        <w:rPr>
          <w:rFonts w:ascii="Arial" w:hAnsi="Arial" w:cs="Arial"/>
          <w:sz w:val="24"/>
          <w:szCs w:val="24"/>
          <w:lang w:val="es-ES"/>
        </w:rPr>
        <w:t>o</w:t>
      </w:r>
      <w:r w:rsidRPr="007862FC">
        <w:rPr>
          <w:rFonts w:ascii="Arial" w:hAnsi="Arial" w:cs="Arial"/>
          <w:sz w:val="24"/>
          <w:szCs w:val="24"/>
          <w:lang w:val="es-ES"/>
        </w:rPr>
        <w:t xml:space="preserve">bservational, descriptive, cross-sectional study in a population of 23 subjects. </w:t>
      </w:r>
      <w:r w:rsidRPr="007862FC">
        <w:rPr>
          <w:rFonts w:ascii="Arial" w:hAnsi="Arial" w:cs="Arial"/>
          <w:b/>
          <w:bCs/>
          <w:sz w:val="24"/>
          <w:szCs w:val="24"/>
          <w:lang w:val="es-ES"/>
        </w:rPr>
        <w:t>Results:</w:t>
      </w:r>
      <w:r w:rsidRPr="007862FC">
        <w:rPr>
          <w:rFonts w:ascii="Arial" w:hAnsi="Arial" w:cs="Arial"/>
          <w:sz w:val="24"/>
          <w:szCs w:val="24"/>
          <w:lang w:val="es-ES"/>
        </w:rPr>
        <w:t xml:space="preserve"> </w:t>
      </w:r>
      <w:r w:rsidR="009D7BCE">
        <w:rPr>
          <w:rFonts w:ascii="Arial" w:hAnsi="Arial" w:cs="Arial"/>
          <w:sz w:val="24"/>
          <w:szCs w:val="24"/>
          <w:lang w:val="es-ES"/>
        </w:rPr>
        <w:t>f</w:t>
      </w:r>
      <w:r w:rsidRPr="007862FC">
        <w:rPr>
          <w:rFonts w:ascii="Arial" w:hAnsi="Arial" w:cs="Arial"/>
          <w:sz w:val="24"/>
          <w:szCs w:val="24"/>
          <w:lang w:val="es-ES"/>
        </w:rPr>
        <w:t>emale patients predominated (n= 14; 60.9%). All of the individuals attended the first consultation, were diagnosed with autism spectrum disorder and suffered the first epileptic seizure at 9 years or younger. 78.3% (n= 18) were born between 38 and 42 weeks of gestation, and 65.2% (n= 15) were diagnosed with intellectual disability disorder. The absence of risk factors was the most common characteristic (n= 14; 60.9 %). Generalized seizures were the most frequent (n= 12; 52.17%). Individuals with congenital (n= 16;</w:t>
      </w:r>
      <w:r w:rsidRPr="007862FC">
        <w:rPr>
          <w:rFonts w:ascii="Arial" w:hAnsi="Arial" w:cs="Arial"/>
          <w:b/>
          <w:sz w:val="24"/>
          <w:szCs w:val="24"/>
          <w:lang w:val="es-ES"/>
        </w:rPr>
        <w:t xml:space="preserve"> </w:t>
      </w:r>
      <w:r w:rsidRPr="007862FC">
        <w:rPr>
          <w:rFonts w:ascii="Arial" w:hAnsi="Arial" w:cs="Arial"/>
          <w:bCs/>
          <w:sz w:val="24"/>
          <w:szCs w:val="24"/>
          <w:lang w:val="es-ES"/>
        </w:rPr>
        <w:t>69.57%) and idiopathic (n= 8; 64.78%) autism spectrum disorder</w:t>
      </w:r>
      <w:r w:rsidR="00FB6367">
        <w:rPr>
          <w:rFonts w:ascii="Arial" w:hAnsi="Arial" w:cs="Arial"/>
          <w:bCs/>
          <w:sz w:val="24"/>
          <w:szCs w:val="24"/>
          <w:lang w:val="es-ES"/>
        </w:rPr>
        <w:t xml:space="preserve"> predominated</w:t>
      </w:r>
      <w:r w:rsidRPr="007862FC">
        <w:rPr>
          <w:rFonts w:ascii="Arial" w:hAnsi="Arial" w:cs="Arial"/>
          <w:bCs/>
          <w:sz w:val="24"/>
          <w:szCs w:val="24"/>
          <w:lang w:val="es-ES"/>
        </w:rPr>
        <w:t>.</w:t>
      </w:r>
      <w:r w:rsidR="00FB6367">
        <w:rPr>
          <w:rFonts w:ascii="Arial" w:hAnsi="Arial" w:cs="Arial"/>
          <w:bCs/>
          <w:sz w:val="24"/>
          <w:szCs w:val="24"/>
          <w:lang w:val="es-ES"/>
        </w:rPr>
        <w:t xml:space="preserve"> </w:t>
      </w:r>
      <w:r w:rsidR="00FB6367" w:rsidRPr="00FB6367">
        <w:rPr>
          <w:rFonts w:ascii="Arial" w:hAnsi="Arial" w:cs="Arial"/>
          <w:bCs/>
          <w:sz w:val="24"/>
          <w:szCs w:val="24"/>
          <w:lang w:val="es-ES"/>
        </w:rPr>
        <w:t>In 56.5% (n= 13), the first epileptic seizure preceded the diagnosis of autism spectrum disorder.</w:t>
      </w:r>
      <w:r>
        <w:rPr>
          <w:rFonts w:ascii="Arial" w:hAnsi="Arial" w:cs="Arial"/>
          <w:b/>
          <w:sz w:val="24"/>
          <w:szCs w:val="24"/>
          <w:lang w:val="es-ES"/>
        </w:rPr>
        <w:t xml:space="preserve"> </w:t>
      </w:r>
      <w:r w:rsidRPr="007862FC">
        <w:rPr>
          <w:rFonts w:ascii="Arial" w:hAnsi="Arial" w:cs="Arial"/>
          <w:b/>
          <w:bCs/>
          <w:sz w:val="24"/>
          <w:szCs w:val="24"/>
          <w:lang w:val="es-ES"/>
        </w:rPr>
        <w:t>Conclusions:</w:t>
      </w:r>
      <w:r w:rsidRPr="007862FC">
        <w:rPr>
          <w:rFonts w:ascii="Arial" w:hAnsi="Arial" w:cs="Arial"/>
          <w:sz w:val="24"/>
          <w:szCs w:val="24"/>
          <w:lang w:val="es-ES"/>
        </w:rPr>
        <w:t xml:space="preserve"> </w:t>
      </w:r>
      <w:r w:rsidR="009D7BCE">
        <w:rPr>
          <w:rFonts w:ascii="Arial" w:hAnsi="Arial" w:cs="Arial"/>
          <w:sz w:val="24"/>
          <w:szCs w:val="24"/>
          <w:lang w:val="es-ES"/>
        </w:rPr>
        <w:t>i</w:t>
      </w:r>
      <w:r w:rsidRPr="007862FC">
        <w:rPr>
          <w:rFonts w:ascii="Arial" w:hAnsi="Arial" w:cs="Arial"/>
          <w:sz w:val="24"/>
          <w:szCs w:val="24"/>
          <w:lang w:val="es-ES"/>
        </w:rPr>
        <w:t xml:space="preserve">n the population studied, the comorbidity between epilepsy and autism spectrum disorder occurs mainly in females, before the first decade of life, with coexistence of an intellectual disability disorder and the absence of risk factors, in the context </w:t>
      </w:r>
      <w:r w:rsidRPr="007862FC">
        <w:rPr>
          <w:rFonts w:ascii="Arial" w:hAnsi="Arial" w:cs="Arial"/>
          <w:sz w:val="24"/>
          <w:szCs w:val="24"/>
          <w:lang w:val="es-ES"/>
        </w:rPr>
        <w:lastRenderedPageBreak/>
        <w:t xml:space="preserve">of generalized epileptic seizures and a congenital, profound, idiopathic autism spectrum disorder, and diagnosed after epilepsy. </w:t>
      </w:r>
    </w:p>
    <w:p w14:paraId="62EFCF0F" w14:textId="3B4D91ED" w:rsidR="00F726BD" w:rsidRDefault="007862FC" w:rsidP="007862FC">
      <w:pPr>
        <w:spacing w:after="0" w:line="360" w:lineRule="auto"/>
        <w:jc w:val="both"/>
        <w:rPr>
          <w:rFonts w:ascii="Arial" w:hAnsi="Arial" w:cs="Arial"/>
          <w:sz w:val="24"/>
          <w:szCs w:val="24"/>
          <w:lang w:val="es-ES"/>
        </w:rPr>
      </w:pPr>
      <w:r w:rsidRPr="007862FC">
        <w:rPr>
          <w:rFonts w:ascii="Arial" w:hAnsi="Arial" w:cs="Arial"/>
          <w:b/>
          <w:bCs/>
          <w:sz w:val="24"/>
          <w:szCs w:val="24"/>
          <w:lang w:val="es-ES"/>
        </w:rPr>
        <w:t>Keywords:</w:t>
      </w:r>
      <w:r w:rsidRPr="007862FC">
        <w:rPr>
          <w:rFonts w:ascii="Arial" w:hAnsi="Arial" w:cs="Arial"/>
          <w:sz w:val="24"/>
          <w:szCs w:val="24"/>
          <w:lang w:val="es-ES"/>
        </w:rPr>
        <w:t xml:space="preserve"> epilepsy; autism spectrum disorder; pediatrics; diseases of the nervous system; seizures. </w:t>
      </w:r>
    </w:p>
    <w:p w14:paraId="1693B32D" w14:textId="77777777" w:rsidR="007862FC" w:rsidRPr="007862FC" w:rsidRDefault="007862FC" w:rsidP="007862FC">
      <w:pPr>
        <w:spacing w:after="0" w:line="360" w:lineRule="auto"/>
        <w:jc w:val="both"/>
        <w:rPr>
          <w:rFonts w:ascii="Arial" w:hAnsi="Arial" w:cs="Arial"/>
          <w:sz w:val="24"/>
          <w:szCs w:val="24"/>
          <w:lang w:val="es-419"/>
        </w:rPr>
      </w:pPr>
    </w:p>
    <w:p w14:paraId="24E7591A" w14:textId="6FEB8DFB" w:rsidR="00F726BD" w:rsidRPr="00B53F3A" w:rsidRDefault="00FB6367" w:rsidP="00F726BD">
      <w:pPr>
        <w:spacing w:after="0" w:line="360" w:lineRule="auto"/>
        <w:jc w:val="both"/>
        <w:rPr>
          <w:rFonts w:ascii="Arial" w:hAnsi="Arial" w:cs="Arial"/>
          <w:b/>
          <w:sz w:val="24"/>
          <w:szCs w:val="24"/>
          <w:lang w:val="es-ES"/>
        </w:rPr>
      </w:pPr>
      <w:r w:rsidRPr="00B53F3A">
        <w:rPr>
          <w:rFonts w:ascii="Arial" w:hAnsi="Arial" w:cs="Arial"/>
          <w:b/>
          <w:sz w:val="24"/>
          <w:szCs w:val="24"/>
          <w:lang w:val="es-ES"/>
        </w:rPr>
        <w:t>INTRODUCCIÓN</w:t>
      </w:r>
    </w:p>
    <w:p w14:paraId="5A520E70" w14:textId="762B6FEC" w:rsidR="00F726BD" w:rsidRPr="00B53F3A" w:rsidRDefault="00F726BD" w:rsidP="00F726BD">
      <w:pPr>
        <w:spacing w:after="0" w:line="360" w:lineRule="auto"/>
        <w:jc w:val="both"/>
        <w:rPr>
          <w:rFonts w:ascii="Arial" w:hAnsi="Arial" w:cs="Arial"/>
          <w:sz w:val="24"/>
          <w:szCs w:val="24"/>
          <w:vertAlign w:val="superscript"/>
          <w:lang w:val="es-ES"/>
        </w:rPr>
      </w:pPr>
      <w:r w:rsidRPr="00B53F3A">
        <w:rPr>
          <w:rFonts w:ascii="Arial" w:hAnsi="Arial" w:cs="Arial"/>
          <w:sz w:val="24"/>
          <w:szCs w:val="24"/>
          <w:lang w:val="es-ES"/>
        </w:rPr>
        <w:t>El trastorno del espectro autista (TEA) es un conjunto de complejas alteraciones del neurodesarrollo que se caracteriza por dificultades en la interacción social, así como conductas repetitivas y restringidas. Su diagnóstico es clínico y tiene un origen multifactorial.</w:t>
      </w:r>
      <w:r w:rsidRPr="00B53F3A">
        <w:rPr>
          <w:rFonts w:ascii="Arial" w:hAnsi="Arial" w:cs="Arial"/>
          <w:sz w:val="24"/>
          <w:szCs w:val="24"/>
          <w:vertAlign w:val="superscript"/>
          <w:lang w:val="es-ES"/>
        </w:rPr>
        <w:t xml:space="preserve">(1,2,3,4,5) </w:t>
      </w:r>
      <w:r w:rsidRPr="00B53F3A">
        <w:rPr>
          <w:rFonts w:ascii="Arial" w:hAnsi="Arial" w:cs="Arial"/>
          <w:sz w:val="24"/>
          <w:szCs w:val="24"/>
          <w:lang w:val="es-ES"/>
        </w:rPr>
        <w:t>Aproximadamente uno de cada 160 niños tiene un TEA.</w:t>
      </w:r>
      <w:r w:rsidRPr="00B53F3A">
        <w:rPr>
          <w:rFonts w:ascii="Arial" w:hAnsi="Arial" w:cs="Arial"/>
          <w:sz w:val="24"/>
          <w:szCs w:val="24"/>
          <w:vertAlign w:val="superscript"/>
          <w:lang w:val="es-ES"/>
        </w:rPr>
        <w:t>(6)</w:t>
      </w:r>
    </w:p>
    <w:p w14:paraId="1900D048"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Por su parte, la epilepsia es una enfermedad cerebral definida por cualquiera de las siguientes circunstancias: 1) al menos dos crisis no provocadas (o reflejas) con más de 24 h de separación, 2) una crisis no provocada (o refleja) y una probabilidad de presentar nuevas crisis durante los 10 años siguientes similar al riesgo general de recurrencia (al menos, 60 %) tras la aparición de dos crisis no provocadas, 3) diagnóstico de un síndrome de epilepsia.</w:t>
      </w:r>
      <w:r w:rsidRPr="00B53F3A">
        <w:rPr>
          <w:rFonts w:ascii="Arial" w:hAnsi="Arial" w:cs="Arial"/>
          <w:sz w:val="24"/>
          <w:szCs w:val="24"/>
          <w:vertAlign w:val="superscript"/>
          <w:lang w:val="es-ES"/>
        </w:rPr>
        <w:t>(7)</w:t>
      </w:r>
      <w:r w:rsidRPr="00B53F3A">
        <w:rPr>
          <w:rFonts w:ascii="Arial" w:hAnsi="Arial" w:cs="Arial"/>
          <w:sz w:val="24"/>
          <w:szCs w:val="24"/>
          <w:lang w:val="es-ES"/>
        </w:rPr>
        <w:t xml:space="preserve"> </w:t>
      </w:r>
    </w:p>
    <w:p w14:paraId="4F431BB8" w14:textId="77777777" w:rsidR="00F726BD" w:rsidRPr="00B53F3A" w:rsidRDefault="00F726BD" w:rsidP="00F726BD">
      <w:pPr>
        <w:spacing w:after="0" w:line="360" w:lineRule="auto"/>
        <w:jc w:val="both"/>
        <w:rPr>
          <w:rFonts w:ascii="Arial" w:hAnsi="Arial" w:cs="Arial"/>
          <w:sz w:val="24"/>
          <w:szCs w:val="24"/>
          <w:vertAlign w:val="superscript"/>
          <w:lang w:val="es-ES"/>
        </w:rPr>
      </w:pPr>
      <w:r w:rsidRPr="00B53F3A">
        <w:rPr>
          <w:rFonts w:ascii="Arial" w:hAnsi="Arial" w:cs="Arial"/>
          <w:sz w:val="24"/>
          <w:szCs w:val="24"/>
          <w:lang w:val="es-ES"/>
        </w:rPr>
        <w:t>En 2017 la Liga Internacional contra la Epilepsia publicó una clasificación sobre los tipos de crisis epilépticas, en la que las dividía en tres grupos de acuerdo a su inicio (motor o no motor): focal, generalizado o desconocido.</w:t>
      </w:r>
      <w:r w:rsidRPr="00B53F3A">
        <w:rPr>
          <w:rFonts w:ascii="Arial" w:hAnsi="Arial" w:cs="Arial"/>
          <w:sz w:val="24"/>
          <w:szCs w:val="24"/>
          <w:vertAlign w:val="superscript"/>
          <w:lang w:val="es-ES"/>
        </w:rPr>
        <w:t>(8)</w:t>
      </w:r>
    </w:p>
    <w:p w14:paraId="5C8B3935" w14:textId="77777777" w:rsidR="00F726BD" w:rsidRPr="00B53F3A" w:rsidRDefault="00F726BD" w:rsidP="00F726BD">
      <w:pPr>
        <w:spacing w:after="0" w:line="360" w:lineRule="auto"/>
        <w:jc w:val="both"/>
        <w:rPr>
          <w:rFonts w:ascii="Arial" w:hAnsi="Arial" w:cs="Arial"/>
          <w:sz w:val="24"/>
          <w:szCs w:val="24"/>
          <w:vertAlign w:val="superscript"/>
          <w:lang w:val="es-ES"/>
        </w:rPr>
      </w:pPr>
      <w:r w:rsidRPr="00B53F3A">
        <w:rPr>
          <w:rFonts w:ascii="Arial" w:hAnsi="Arial" w:cs="Arial"/>
          <w:sz w:val="24"/>
          <w:szCs w:val="24"/>
          <w:lang w:val="es-ES"/>
        </w:rPr>
        <w:t>Según reportes de la Organización Mundial de Salud, más de 50 millones de personas en el mundo padecen de epilepsia, lo que la convierte en una de las enfermedades neurológicas más comunes; cerca del 80 % de los pacientes viven en países de bajos ingresos. Afecta al 1-2 % de la población.</w:t>
      </w:r>
      <w:r w:rsidRPr="00B53F3A">
        <w:rPr>
          <w:rFonts w:ascii="Arial" w:hAnsi="Arial" w:cs="Arial"/>
          <w:sz w:val="24"/>
          <w:szCs w:val="24"/>
          <w:vertAlign w:val="superscript"/>
          <w:lang w:val="es-ES"/>
        </w:rPr>
        <w:t>(9,10)</w:t>
      </w:r>
    </w:p>
    <w:p w14:paraId="641E9E83"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La epilepsia es más común entre individuos con TEA que en la población general; esta comorbilidad es frecuente y su diagnóstico es todo un reto.</w:t>
      </w:r>
      <w:r w:rsidRPr="00B53F3A">
        <w:rPr>
          <w:rFonts w:ascii="Arial" w:hAnsi="Arial" w:cs="Arial"/>
          <w:sz w:val="24"/>
          <w:szCs w:val="24"/>
          <w:vertAlign w:val="superscript"/>
          <w:lang w:val="es-ES"/>
        </w:rPr>
        <w:t xml:space="preserve">(11,12,13,14,15) </w:t>
      </w:r>
      <w:r w:rsidRPr="00B53F3A">
        <w:rPr>
          <w:rFonts w:ascii="Arial" w:hAnsi="Arial" w:cs="Arial"/>
          <w:sz w:val="24"/>
          <w:szCs w:val="24"/>
          <w:lang w:val="es-ES"/>
        </w:rPr>
        <w:t>El 8-30 % de los pacientes pediátricos con TEA también padecen epilepsia.</w:t>
      </w:r>
      <w:r w:rsidRPr="00B53F3A">
        <w:rPr>
          <w:rFonts w:ascii="Arial" w:hAnsi="Arial" w:cs="Arial"/>
          <w:sz w:val="24"/>
          <w:szCs w:val="24"/>
          <w:vertAlign w:val="superscript"/>
          <w:lang w:val="es-ES"/>
        </w:rPr>
        <w:t>(16)</w:t>
      </w:r>
    </w:p>
    <w:p w14:paraId="05B3F5E3"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 xml:space="preserve">Se desconoce la existencia de publicaciones realizadas en Cuba que relacionen el TEA con la epilepsia en edades pediátricas; tampoco es profusa la producción científica al respecto en América Latina. </w:t>
      </w:r>
    </w:p>
    <w:p w14:paraId="63ECC753"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Ello motivó la realización de esta investigación, cuyo objetivo fue caracterizar la comorbilidad del TEA y la epilepsia en pacientes pediátricos. atendidos en el Centro Internacional de Restauración Neurológica (CIREN).</w:t>
      </w:r>
    </w:p>
    <w:p w14:paraId="0DA7AE65" w14:textId="77777777" w:rsidR="00F726BD" w:rsidRPr="00B53F3A" w:rsidRDefault="00F726BD" w:rsidP="00F726BD">
      <w:pPr>
        <w:spacing w:after="0" w:line="360" w:lineRule="auto"/>
        <w:jc w:val="both"/>
        <w:rPr>
          <w:rFonts w:ascii="Arial" w:hAnsi="Arial" w:cs="Arial"/>
          <w:b/>
          <w:sz w:val="24"/>
          <w:szCs w:val="24"/>
          <w:lang w:val="es-ES"/>
        </w:rPr>
      </w:pPr>
    </w:p>
    <w:p w14:paraId="74DA1A1A" w14:textId="77777777" w:rsidR="00F726BD" w:rsidRPr="00B53F3A" w:rsidRDefault="00F726BD" w:rsidP="00F726BD">
      <w:pPr>
        <w:spacing w:after="0" w:line="360" w:lineRule="auto"/>
        <w:jc w:val="both"/>
        <w:rPr>
          <w:rFonts w:ascii="Arial" w:hAnsi="Arial" w:cs="Arial"/>
          <w:b/>
          <w:sz w:val="24"/>
          <w:szCs w:val="24"/>
          <w:lang w:val="es-ES"/>
        </w:rPr>
      </w:pPr>
    </w:p>
    <w:p w14:paraId="6E28473C" w14:textId="54475161" w:rsidR="00F726BD" w:rsidRPr="00B53F3A" w:rsidRDefault="00FB6367" w:rsidP="00F726BD">
      <w:pPr>
        <w:spacing w:after="0" w:line="360" w:lineRule="auto"/>
        <w:jc w:val="both"/>
        <w:rPr>
          <w:rFonts w:ascii="Arial" w:hAnsi="Arial" w:cs="Arial"/>
          <w:sz w:val="24"/>
          <w:szCs w:val="24"/>
          <w:lang w:val="es-ES"/>
        </w:rPr>
      </w:pPr>
      <w:r w:rsidRPr="00B53F3A">
        <w:rPr>
          <w:rFonts w:ascii="Arial" w:hAnsi="Arial" w:cs="Arial"/>
          <w:b/>
          <w:sz w:val="24"/>
          <w:szCs w:val="24"/>
          <w:lang w:val="es-ES"/>
        </w:rPr>
        <w:lastRenderedPageBreak/>
        <w:t>MÉTODOS</w:t>
      </w:r>
    </w:p>
    <w:p w14:paraId="1A41C94D"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Estudio observacional, descriptivo, de corte transversal, realizado entre el 1 de enero de 2020 y el 1 de noviembre de 2021 en el Centro Internacional de Restauración Neurológica (CIREN), institución médica en la que se atendieron los pacientes de esta investigación.</w:t>
      </w:r>
    </w:p>
    <w:p w14:paraId="68D4563A"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 xml:space="preserve">La población estuvo constituida por 23 individuos y fue estudiada en su totalidad. Los criterios de inclusión fueron: todos los pacientes en edad pediátrica (≤ 19 años) con diagnóstico de TEA [según los criterios de la quinta edición del </w:t>
      </w:r>
      <w:r w:rsidRPr="00B53F3A">
        <w:rPr>
          <w:rFonts w:ascii="Arial" w:hAnsi="Arial" w:cs="Arial"/>
          <w:iCs/>
          <w:sz w:val="24"/>
          <w:szCs w:val="24"/>
          <w:lang w:val="es-ES"/>
        </w:rPr>
        <w:t>Manual Diagnóstico y Estadístico de los Trastornos Mentales</w:t>
      </w:r>
      <w:r w:rsidRPr="00B53F3A">
        <w:rPr>
          <w:rFonts w:ascii="Arial" w:hAnsi="Arial" w:cs="Arial"/>
          <w:i/>
          <w:sz w:val="24"/>
          <w:szCs w:val="24"/>
          <w:lang w:val="es-ES"/>
        </w:rPr>
        <w:t xml:space="preserve"> </w:t>
      </w:r>
      <w:r w:rsidRPr="00B53F3A">
        <w:rPr>
          <w:rFonts w:ascii="Arial" w:hAnsi="Arial" w:cs="Arial"/>
          <w:sz w:val="24"/>
          <w:szCs w:val="24"/>
          <w:lang w:val="es-ES"/>
        </w:rPr>
        <w:t xml:space="preserve">(DSM-5) </w:t>
      </w:r>
      <w:r w:rsidRPr="00B53F3A">
        <w:rPr>
          <w:rFonts w:ascii="Arial" w:hAnsi="Arial" w:cs="Arial"/>
          <w:sz w:val="24"/>
          <w:szCs w:val="24"/>
          <w:vertAlign w:val="superscript"/>
          <w:lang w:val="es-ES"/>
        </w:rPr>
        <w:t>(17)</w:t>
      </w:r>
      <w:r w:rsidRPr="00B53F3A">
        <w:rPr>
          <w:rFonts w:ascii="Arial" w:hAnsi="Arial" w:cs="Arial"/>
          <w:sz w:val="24"/>
          <w:szCs w:val="24"/>
          <w:lang w:val="es-ES"/>
        </w:rPr>
        <w:t>] y epilepsia atendidos en consulta externa de neuropediatría del CIREN en el citado período, cuyos tutores legales dieran el consentimiento escrito a que se les incluyera. Se excluyeron aquellos pacientes con historia clínica (HC) incompleta.</w:t>
      </w:r>
    </w:p>
    <w:p w14:paraId="34FCE54F"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Se estudiaron las variables: sexo (masculino o femenino), edad del paciente en la primera consulta (en años cumplidos: 0-9, 10-14, 15-19), edad del paciente al momento del diagnóstico del TEA (en años cumplidos: 0-9, 10-14, 15-19), edad del paciente en la primera crisis epiléptica (en años cumplidos: 0-9, 10-14, 15-19), edad gestacional del paciente al momento de su nacimiento (menos de 32 semanas, de 32 a 37 semanas, de 38 a 42 semanas o más de 42 semanas), trastorno de déficit intelectual (sí o no, de acuerdo a su diagnóstico), factores de riesgo (infecciones durante el embarazo, consumo de alcohol de la madre durante el embarazo, exposición a la nicotina durante el embarazo, antecedentes patológicos maternos de epilepsia o ninguno), tipo de crisis epiléptica (focal, generalizada o de inicio desconocido), tipo de TEA (congénito o regresivo, según su diagnóstico), grado del TEA según puntaje (ligero o moderado: 30-36 puntos; profundo: más de 36 puntos) obtenido en la escala de autismo infantil</w:t>
      </w:r>
      <w:r w:rsidRPr="00B53F3A">
        <w:rPr>
          <w:rFonts w:ascii="Arial" w:hAnsi="Arial" w:cs="Arial"/>
          <w:sz w:val="24"/>
          <w:szCs w:val="24"/>
          <w:vertAlign w:val="superscript"/>
          <w:lang w:val="es-ES"/>
        </w:rPr>
        <w:t>(18)</w:t>
      </w:r>
      <w:r w:rsidRPr="00B53F3A">
        <w:rPr>
          <w:rFonts w:ascii="Arial" w:hAnsi="Arial" w:cs="Arial"/>
          <w:sz w:val="24"/>
          <w:szCs w:val="24"/>
          <w:lang w:val="es-ES"/>
        </w:rPr>
        <w:t xml:space="preserve"> (CARS, del inglés </w:t>
      </w:r>
      <w:r w:rsidRPr="00B53F3A">
        <w:rPr>
          <w:rFonts w:ascii="Arial" w:hAnsi="Arial" w:cs="Arial"/>
          <w:i/>
          <w:sz w:val="24"/>
          <w:szCs w:val="24"/>
          <w:lang w:val="es-ES"/>
        </w:rPr>
        <w:t>Child Autism Rating Scale</w:t>
      </w:r>
      <w:r w:rsidRPr="00B53F3A">
        <w:rPr>
          <w:rFonts w:ascii="Arial" w:hAnsi="Arial" w:cs="Arial"/>
          <w:sz w:val="24"/>
          <w:szCs w:val="24"/>
          <w:lang w:val="es-ES"/>
        </w:rPr>
        <w:t>) y causa del TEA [síndrome de Rett, síndrome de Down, síndrome de West, síndrome de Angelman, lesión estática en el sistema nervioso central sin otras complicaciones (LESNC-SOC), síndrome de Lennox-Gastaut o idiopático].</w:t>
      </w:r>
    </w:p>
    <w:p w14:paraId="64F5D34D"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Los datos se recolectaron de las HC individuales en planillas diseñadas con tal efecto, y luego se exportaron a hojas de trabajo de Microsoft Excel 2016 para Windows.</w:t>
      </w:r>
    </w:p>
    <w:p w14:paraId="45B81560"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Se realizó un análisis estadístico descriptivo con frecuencias absolutas y porcentuales. Se determinaron medidas de tendencia central (moda y media) y de dispersión (desviación estándar). Fue empleado el programa estadístico IBM SPSS 26 para Windows.</w:t>
      </w:r>
    </w:p>
    <w:p w14:paraId="4218ED00"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Se respetaron los principios bioéticos clásicos de autonomía, beneficencia, no maleficencia y justicia. Se cumplió con lo refrendado en la Declaración de Helsinki</w:t>
      </w:r>
      <w:r w:rsidRPr="00B53F3A">
        <w:rPr>
          <w:rFonts w:ascii="Arial" w:hAnsi="Arial" w:cs="Arial"/>
          <w:sz w:val="24"/>
          <w:szCs w:val="24"/>
          <w:vertAlign w:val="superscript"/>
          <w:lang w:val="es-ES"/>
        </w:rPr>
        <w:t>(19)</w:t>
      </w:r>
      <w:r w:rsidRPr="00B53F3A">
        <w:rPr>
          <w:rFonts w:ascii="Arial" w:hAnsi="Arial" w:cs="Arial"/>
          <w:sz w:val="24"/>
          <w:szCs w:val="24"/>
          <w:lang w:val="es-ES"/>
        </w:rPr>
        <w:t xml:space="preserve"> sobre investigaciones médicas en seres humanos. Los tutores legales de los individuos que participaron en el estudio </w:t>
      </w:r>
      <w:r w:rsidRPr="00B53F3A">
        <w:rPr>
          <w:rFonts w:ascii="Arial" w:hAnsi="Arial" w:cs="Arial"/>
          <w:sz w:val="24"/>
          <w:szCs w:val="24"/>
          <w:lang w:val="es-ES"/>
        </w:rPr>
        <w:lastRenderedPageBreak/>
        <w:t>expresaron su autorización mediante la firma de un consentimiento informado. Se protegió la confidencialidad de los datos de los sujetos estudiados, y de sus representantes legales.</w:t>
      </w:r>
    </w:p>
    <w:p w14:paraId="5148ECC5" w14:textId="77777777" w:rsidR="00F726BD" w:rsidRPr="00B53F3A" w:rsidRDefault="00F726BD" w:rsidP="00F726BD">
      <w:pPr>
        <w:spacing w:after="0" w:line="360" w:lineRule="auto"/>
        <w:jc w:val="both"/>
        <w:rPr>
          <w:rFonts w:ascii="Arial" w:hAnsi="Arial" w:cs="Arial"/>
          <w:b/>
          <w:sz w:val="24"/>
          <w:szCs w:val="24"/>
          <w:lang w:val="es-ES"/>
        </w:rPr>
      </w:pPr>
    </w:p>
    <w:p w14:paraId="0085718B" w14:textId="16CC6D9E" w:rsidR="00F726BD" w:rsidRPr="00B53F3A" w:rsidRDefault="00FB6367" w:rsidP="00F726BD">
      <w:pPr>
        <w:spacing w:after="0" w:line="360" w:lineRule="auto"/>
        <w:jc w:val="both"/>
        <w:rPr>
          <w:rFonts w:ascii="Arial" w:hAnsi="Arial" w:cs="Arial"/>
          <w:b/>
          <w:sz w:val="24"/>
          <w:szCs w:val="24"/>
          <w:lang w:val="es-ES"/>
        </w:rPr>
      </w:pPr>
      <w:r w:rsidRPr="00B53F3A">
        <w:rPr>
          <w:rFonts w:ascii="Arial" w:hAnsi="Arial" w:cs="Arial"/>
          <w:b/>
          <w:sz w:val="24"/>
          <w:szCs w:val="24"/>
          <w:lang w:val="es-ES"/>
        </w:rPr>
        <w:t>RESULTADOS</w:t>
      </w:r>
    </w:p>
    <w:p w14:paraId="1A619161"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 xml:space="preserve">Predominaron los pacientes del sexo femenino (n = 14; 60,9 %). La totalidad de los individuos </w:t>
      </w:r>
    </w:p>
    <w:p w14:paraId="2C12EC57"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 xml:space="preserve">(n = 23; 100 %) acudió a la primera consulta, fue diagnosticado con TEA y sufrió la primera crisis epiléptica con 9 años de edad o menos; estos eventos se produjeron, respectivamente, a las edades medias de 3,57 ± 2,16 años, 2,35 ± 1,49 años y 3,1 ± 2,03 años. El 78,3 % (n = 18) nació entre las 38 y 42 semanas de gestación, y el 65,2 % (n = 15) fue diagnosticado con trastorno de déficit intelectual. Lo más común fue la inexistencia de factores de riesgo (n = 14; 60,9 %); pero, cuando existieron, los de mayor representación fueron las infecciones y la exposición a la nicotina, ambos presentes en 3 casos diferentes, lo cual representa 13 % para cada uno (Tabla 1). </w:t>
      </w:r>
    </w:p>
    <w:p w14:paraId="6D018A20" w14:textId="77777777" w:rsidR="00F726BD" w:rsidRPr="00B53F3A" w:rsidRDefault="00F726BD" w:rsidP="00F726BD">
      <w:pPr>
        <w:spacing w:after="0" w:line="360" w:lineRule="auto"/>
        <w:jc w:val="both"/>
        <w:rPr>
          <w:rFonts w:ascii="Arial" w:hAnsi="Arial" w:cs="Arial"/>
          <w:b/>
          <w:sz w:val="24"/>
          <w:szCs w:val="24"/>
          <w:lang w:val="es-ES"/>
        </w:rPr>
      </w:pPr>
    </w:p>
    <w:p w14:paraId="6F1CDEE0"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b/>
          <w:sz w:val="24"/>
          <w:szCs w:val="24"/>
          <w:lang w:val="es-ES"/>
        </w:rPr>
        <w:t>Tabla 1</w:t>
      </w:r>
      <w:r w:rsidRPr="00B53F3A">
        <w:rPr>
          <w:rFonts w:ascii="Arial" w:hAnsi="Arial" w:cs="Arial"/>
          <w:sz w:val="24"/>
          <w:szCs w:val="24"/>
          <w:lang w:val="es-ES"/>
        </w:rPr>
        <w:t xml:space="preserve"> – Distribución de los pacientes según variables estudiadas</w:t>
      </w:r>
    </w:p>
    <w:tbl>
      <w:tblPr>
        <w:tblStyle w:val="Estilo1"/>
        <w:tblW w:w="0" w:type="auto"/>
        <w:jc w:val="center"/>
        <w:tblLook w:val="04A0" w:firstRow="1" w:lastRow="0" w:firstColumn="1" w:lastColumn="0" w:noHBand="0" w:noVBand="1"/>
      </w:tblPr>
      <w:tblGrid>
        <w:gridCol w:w="2713"/>
        <w:gridCol w:w="2720"/>
        <w:gridCol w:w="993"/>
        <w:gridCol w:w="1011"/>
      </w:tblGrid>
      <w:tr w:rsidR="00F726BD" w:rsidRPr="00B53F3A" w14:paraId="04B780A8" w14:textId="77777777" w:rsidTr="00FB6367">
        <w:trPr>
          <w:cnfStyle w:val="100000000000" w:firstRow="1" w:lastRow="0" w:firstColumn="0" w:lastColumn="0" w:oddVBand="0" w:evenVBand="0" w:oddHBand="0" w:evenHBand="0" w:firstRowFirstColumn="0" w:firstRowLastColumn="0" w:lastRowFirstColumn="0" w:lastRowLastColumn="0"/>
          <w:trHeight w:val="49"/>
          <w:jc w:val="center"/>
        </w:trPr>
        <w:tc>
          <w:tcPr>
            <w:tcW w:w="5373" w:type="dxa"/>
            <w:gridSpan w:val="2"/>
          </w:tcPr>
          <w:p w14:paraId="419F3987" w14:textId="77777777" w:rsidR="00F726BD" w:rsidRPr="00FB6367" w:rsidRDefault="00F726BD" w:rsidP="00302CCF">
            <w:pPr>
              <w:spacing w:line="360" w:lineRule="auto"/>
              <w:jc w:val="both"/>
              <w:rPr>
                <w:rFonts w:ascii="Arial" w:hAnsi="Arial" w:cs="Arial"/>
                <w:b/>
                <w:sz w:val="20"/>
                <w:szCs w:val="20"/>
              </w:rPr>
            </w:pPr>
            <w:r w:rsidRPr="00FB6367">
              <w:rPr>
                <w:rFonts w:ascii="Arial" w:hAnsi="Arial" w:cs="Arial"/>
                <w:b/>
                <w:sz w:val="20"/>
                <w:szCs w:val="20"/>
              </w:rPr>
              <w:t>Variables</w:t>
            </w:r>
          </w:p>
        </w:tc>
        <w:tc>
          <w:tcPr>
            <w:tcW w:w="953" w:type="dxa"/>
            <w:vAlign w:val="center"/>
          </w:tcPr>
          <w:p w14:paraId="146EB727" w14:textId="77777777" w:rsidR="00F726BD" w:rsidRPr="00FB6367" w:rsidRDefault="00F726BD" w:rsidP="00302CCF">
            <w:pPr>
              <w:spacing w:line="360" w:lineRule="auto"/>
              <w:jc w:val="both"/>
              <w:rPr>
                <w:rFonts w:ascii="Arial" w:hAnsi="Arial" w:cs="Arial"/>
                <w:b/>
                <w:sz w:val="20"/>
                <w:szCs w:val="20"/>
              </w:rPr>
            </w:pPr>
            <w:r w:rsidRPr="00FB6367">
              <w:rPr>
                <w:rFonts w:ascii="Arial" w:hAnsi="Arial" w:cs="Arial"/>
                <w:b/>
                <w:sz w:val="20"/>
                <w:szCs w:val="20"/>
              </w:rPr>
              <w:t>No.</w:t>
            </w:r>
          </w:p>
        </w:tc>
        <w:tc>
          <w:tcPr>
            <w:tcW w:w="951" w:type="dxa"/>
            <w:vAlign w:val="center"/>
          </w:tcPr>
          <w:p w14:paraId="7675151A" w14:textId="77777777" w:rsidR="00F726BD" w:rsidRPr="00FB6367" w:rsidRDefault="00F726BD" w:rsidP="00302CCF">
            <w:pPr>
              <w:spacing w:line="360" w:lineRule="auto"/>
              <w:jc w:val="both"/>
              <w:rPr>
                <w:rFonts w:ascii="Arial" w:hAnsi="Arial" w:cs="Arial"/>
                <w:b/>
                <w:sz w:val="20"/>
                <w:szCs w:val="20"/>
              </w:rPr>
            </w:pPr>
            <w:r w:rsidRPr="00FB6367">
              <w:rPr>
                <w:rFonts w:ascii="Arial" w:hAnsi="Arial" w:cs="Arial"/>
                <w:b/>
                <w:sz w:val="20"/>
                <w:szCs w:val="20"/>
              </w:rPr>
              <w:t>%</w:t>
            </w:r>
          </w:p>
        </w:tc>
      </w:tr>
      <w:tr w:rsidR="00F726BD" w:rsidRPr="00B53F3A" w14:paraId="13A5738B" w14:textId="77777777" w:rsidTr="00FB6367">
        <w:trPr>
          <w:trHeight w:val="19"/>
          <w:jc w:val="center"/>
        </w:trPr>
        <w:tc>
          <w:tcPr>
            <w:tcW w:w="2653" w:type="dxa"/>
            <w:vMerge w:val="restart"/>
            <w:vAlign w:val="center"/>
            <w:hideMark/>
          </w:tcPr>
          <w:p w14:paraId="0ECF6A67"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Sexo</w:t>
            </w:r>
          </w:p>
        </w:tc>
        <w:tc>
          <w:tcPr>
            <w:tcW w:w="2680" w:type="dxa"/>
            <w:hideMark/>
          </w:tcPr>
          <w:p w14:paraId="46319BD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Masculino</w:t>
            </w:r>
          </w:p>
        </w:tc>
        <w:tc>
          <w:tcPr>
            <w:tcW w:w="953" w:type="dxa"/>
            <w:vAlign w:val="center"/>
            <w:hideMark/>
          </w:tcPr>
          <w:p w14:paraId="7833E682"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9</w:t>
            </w:r>
          </w:p>
        </w:tc>
        <w:tc>
          <w:tcPr>
            <w:tcW w:w="951" w:type="dxa"/>
            <w:vAlign w:val="center"/>
            <w:hideMark/>
          </w:tcPr>
          <w:p w14:paraId="7A1F08E7"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39,1</w:t>
            </w:r>
          </w:p>
        </w:tc>
      </w:tr>
      <w:tr w:rsidR="00F726BD" w:rsidRPr="00B53F3A" w14:paraId="07B9EA48" w14:textId="77777777" w:rsidTr="00FB6367">
        <w:trPr>
          <w:trHeight w:val="86"/>
          <w:jc w:val="center"/>
        </w:trPr>
        <w:tc>
          <w:tcPr>
            <w:tcW w:w="2653" w:type="dxa"/>
            <w:vMerge/>
            <w:vAlign w:val="center"/>
            <w:hideMark/>
          </w:tcPr>
          <w:p w14:paraId="4D4E4515"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4EBD0933"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Femenino</w:t>
            </w:r>
          </w:p>
        </w:tc>
        <w:tc>
          <w:tcPr>
            <w:tcW w:w="953" w:type="dxa"/>
            <w:vAlign w:val="center"/>
            <w:hideMark/>
          </w:tcPr>
          <w:p w14:paraId="4516C9CF"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14</w:t>
            </w:r>
          </w:p>
        </w:tc>
        <w:tc>
          <w:tcPr>
            <w:tcW w:w="951" w:type="dxa"/>
            <w:vAlign w:val="center"/>
            <w:hideMark/>
          </w:tcPr>
          <w:p w14:paraId="1648F3B3"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60,9</w:t>
            </w:r>
          </w:p>
        </w:tc>
      </w:tr>
      <w:tr w:rsidR="00F726BD" w:rsidRPr="00B53F3A" w14:paraId="02CEC5CE" w14:textId="77777777" w:rsidTr="00FB6367">
        <w:trPr>
          <w:trHeight w:val="19"/>
          <w:jc w:val="center"/>
        </w:trPr>
        <w:tc>
          <w:tcPr>
            <w:tcW w:w="2653" w:type="dxa"/>
            <w:vMerge w:val="restart"/>
            <w:vAlign w:val="center"/>
            <w:hideMark/>
          </w:tcPr>
          <w:p w14:paraId="025D6DE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Edad en años del paciente en la primera consulta</w:t>
            </w:r>
          </w:p>
        </w:tc>
        <w:tc>
          <w:tcPr>
            <w:tcW w:w="2680" w:type="dxa"/>
            <w:hideMark/>
          </w:tcPr>
          <w:p w14:paraId="554CFA2C"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0-9 </w:t>
            </w:r>
          </w:p>
        </w:tc>
        <w:tc>
          <w:tcPr>
            <w:tcW w:w="953" w:type="dxa"/>
            <w:vAlign w:val="center"/>
            <w:hideMark/>
          </w:tcPr>
          <w:p w14:paraId="052654FD"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23</w:t>
            </w:r>
          </w:p>
        </w:tc>
        <w:tc>
          <w:tcPr>
            <w:tcW w:w="951" w:type="dxa"/>
            <w:vAlign w:val="center"/>
            <w:hideMark/>
          </w:tcPr>
          <w:p w14:paraId="2A9720B7"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100</w:t>
            </w:r>
          </w:p>
        </w:tc>
      </w:tr>
      <w:tr w:rsidR="00F726BD" w:rsidRPr="00B53F3A" w14:paraId="46DAF5F5" w14:textId="77777777" w:rsidTr="00FB6367">
        <w:trPr>
          <w:trHeight w:val="82"/>
          <w:jc w:val="center"/>
        </w:trPr>
        <w:tc>
          <w:tcPr>
            <w:tcW w:w="2653" w:type="dxa"/>
            <w:vMerge/>
            <w:vAlign w:val="center"/>
            <w:hideMark/>
          </w:tcPr>
          <w:p w14:paraId="51872196"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482068B6"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10-14 </w:t>
            </w:r>
          </w:p>
        </w:tc>
        <w:tc>
          <w:tcPr>
            <w:tcW w:w="953" w:type="dxa"/>
            <w:vAlign w:val="center"/>
            <w:hideMark/>
          </w:tcPr>
          <w:p w14:paraId="1E5DEA35"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c>
          <w:tcPr>
            <w:tcW w:w="951" w:type="dxa"/>
            <w:vAlign w:val="center"/>
            <w:hideMark/>
          </w:tcPr>
          <w:p w14:paraId="13EEAFCD"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r>
      <w:tr w:rsidR="00F726BD" w:rsidRPr="00B53F3A" w14:paraId="558F1332" w14:textId="77777777" w:rsidTr="00FB6367">
        <w:trPr>
          <w:trHeight w:val="142"/>
          <w:jc w:val="center"/>
        </w:trPr>
        <w:tc>
          <w:tcPr>
            <w:tcW w:w="2653" w:type="dxa"/>
            <w:vMerge/>
            <w:vAlign w:val="center"/>
            <w:hideMark/>
          </w:tcPr>
          <w:p w14:paraId="591A9178"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6B4B7DC9"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15-19 </w:t>
            </w:r>
          </w:p>
        </w:tc>
        <w:tc>
          <w:tcPr>
            <w:tcW w:w="953" w:type="dxa"/>
            <w:vAlign w:val="center"/>
            <w:hideMark/>
          </w:tcPr>
          <w:p w14:paraId="4A25760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c>
          <w:tcPr>
            <w:tcW w:w="951" w:type="dxa"/>
            <w:vAlign w:val="center"/>
            <w:hideMark/>
          </w:tcPr>
          <w:p w14:paraId="1A2D43CF"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r>
      <w:tr w:rsidR="00F726BD" w:rsidRPr="00B53F3A" w14:paraId="4B7ED14A" w14:textId="77777777" w:rsidTr="00FB6367">
        <w:trPr>
          <w:trHeight w:val="284"/>
          <w:jc w:val="center"/>
        </w:trPr>
        <w:tc>
          <w:tcPr>
            <w:tcW w:w="2653" w:type="dxa"/>
            <w:vMerge/>
            <w:vAlign w:val="center"/>
          </w:tcPr>
          <w:p w14:paraId="6CE04B70" w14:textId="77777777" w:rsidR="00F726BD" w:rsidRPr="00FB6367" w:rsidRDefault="00F726BD" w:rsidP="00302CCF">
            <w:pPr>
              <w:spacing w:line="360" w:lineRule="auto"/>
              <w:jc w:val="both"/>
              <w:rPr>
                <w:rFonts w:ascii="Arial" w:hAnsi="Arial" w:cs="Arial"/>
                <w:sz w:val="20"/>
                <w:szCs w:val="20"/>
              </w:rPr>
            </w:pPr>
          </w:p>
        </w:tc>
        <w:tc>
          <w:tcPr>
            <w:tcW w:w="4664" w:type="dxa"/>
            <w:gridSpan w:val="3"/>
          </w:tcPr>
          <w:p w14:paraId="73BB0590"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Media: 3,57 </w:t>
            </w:r>
          </w:p>
          <w:p w14:paraId="68D16B8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Desviación estándar: 2,16 </w:t>
            </w:r>
          </w:p>
          <w:p w14:paraId="4516405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Mínimo: 0,5 </w:t>
            </w:r>
          </w:p>
          <w:p w14:paraId="01AFACA4" w14:textId="77777777" w:rsidR="00F726BD" w:rsidRPr="00FB6367" w:rsidRDefault="00F726BD" w:rsidP="00302CCF">
            <w:pPr>
              <w:spacing w:line="360" w:lineRule="auto"/>
              <w:jc w:val="both"/>
              <w:rPr>
                <w:rFonts w:ascii="Arial" w:hAnsi="Arial" w:cs="Arial"/>
                <w:sz w:val="20"/>
                <w:szCs w:val="20"/>
                <w:lang w:val="es-419"/>
              </w:rPr>
            </w:pPr>
            <w:r w:rsidRPr="00FB6367">
              <w:rPr>
                <w:rFonts w:ascii="Arial" w:hAnsi="Arial" w:cs="Arial"/>
                <w:sz w:val="20"/>
                <w:szCs w:val="20"/>
                <w:lang w:val="es-419"/>
              </w:rPr>
              <w:t xml:space="preserve">Máximo: 7 </w:t>
            </w:r>
          </w:p>
        </w:tc>
      </w:tr>
      <w:tr w:rsidR="00F726BD" w:rsidRPr="00B53F3A" w14:paraId="2AE2A771" w14:textId="77777777" w:rsidTr="00FB6367">
        <w:trPr>
          <w:trHeight w:val="58"/>
          <w:jc w:val="center"/>
        </w:trPr>
        <w:tc>
          <w:tcPr>
            <w:tcW w:w="2653" w:type="dxa"/>
            <w:vMerge w:val="restart"/>
            <w:vAlign w:val="center"/>
            <w:hideMark/>
          </w:tcPr>
          <w:p w14:paraId="5B2FE930"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Edad en años del paciente en el momento del diagnóstico TEA</w:t>
            </w:r>
          </w:p>
        </w:tc>
        <w:tc>
          <w:tcPr>
            <w:tcW w:w="2680" w:type="dxa"/>
            <w:hideMark/>
          </w:tcPr>
          <w:p w14:paraId="5811B718"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0-9 </w:t>
            </w:r>
          </w:p>
        </w:tc>
        <w:tc>
          <w:tcPr>
            <w:tcW w:w="953" w:type="dxa"/>
            <w:hideMark/>
          </w:tcPr>
          <w:p w14:paraId="3AA9F9B2"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23</w:t>
            </w:r>
          </w:p>
        </w:tc>
        <w:tc>
          <w:tcPr>
            <w:tcW w:w="951" w:type="dxa"/>
            <w:hideMark/>
          </w:tcPr>
          <w:p w14:paraId="25DD03AC"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100</w:t>
            </w:r>
          </w:p>
        </w:tc>
      </w:tr>
      <w:tr w:rsidR="00F726BD" w:rsidRPr="00B53F3A" w14:paraId="489B38AE" w14:textId="77777777" w:rsidTr="00FB6367">
        <w:trPr>
          <w:trHeight w:val="19"/>
          <w:jc w:val="center"/>
        </w:trPr>
        <w:tc>
          <w:tcPr>
            <w:tcW w:w="2653" w:type="dxa"/>
            <w:vMerge/>
            <w:vAlign w:val="center"/>
            <w:hideMark/>
          </w:tcPr>
          <w:p w14:paraId="543E583E"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76CC1338"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10-14 </w:t>
            </w:r>
          </w:p>
        </w:tc>
        <w:tc>
          <w:tcPr>
            <w:tcW w:w="953" w:type="dxa"/>
            <w:hideMark/>
          </w:tcPr>
          <w:p w14:paraId="0E0A3D3D"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c>
          <w:tcPr>
            <w:tcW w:w="951" w:type="dxa"/>
            <w:hideMark/>
          </w:tcPr>
          <w:p w14:paraId="39DC043C"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r>
      <w:tr w:rsidR="00F726BD" w:rsidRPr="00B53F3A" w14:paraId="5F668F93" w14:textId="77777777" w:rsidTr="00FB6367">
        <w:trPr>
          <w:trHeight w:val="19"/>
          <w:jc w:val="center"/>
        </w:trPr>
        <w:tc>
          <w:tcPr>
            <w:tcW w:w="2653" w:type="dxa"/>
            <w:vMerge/>
            <w:vAlign w:val="center"/>
            <w:hideMark/>
          </w:tcPr>
          <w:p w14:paraId="05DA3E9C"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20A0A085"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15-19 </w:t>
            </w:r>
          </w:p>
        </w:tc>
        <w:tc>
          <w:tcPr>
            <w:tcW w:w="953" w:type="dxa"/>
            <w:hideMark/>
          </w:tcPr>
          <w:p w14:paraId="4D3ACA7C"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c>
          <w:tcPr>
            <w:tcW w:w="951" w:type="dxa"/>
            <w:hideMark/>
          </w:tcPr>
          <w:p w14:paraId="6376CB6A"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r>
      <w:tr w:rsidR="00F726BD" w:rsidRPr="00B53F3A" w14:paraId="03BFC7BD" w14:textId="77777777" w:rsidTr="00FB6367">
        <w:trPr>
          <w:trHeight w:val="284"/>
          <w:jc w:val="center"/>
        </w:trPr>
        <w:tc>
          <w:tcPr>
            <w:tcW w:w="2653" w:type="dxa"/>
            <w:vMerge/>
            <w:vAlign w:val="center"/>
          </w:tcPr>
          <w:p w14:paraId="7C9EF415" w14:textId="77777777" w:rsidR="00F726BD" w:rsidRPr="00FB6367" w:rsidRDefault="00F726BD" w:rsidP="00302CCF">
            <w:pPr>
              <w:spacing w:line="360" w:lineRule="auto"/>
              <w:jc w:val="both"/>
              <w:rPr>
                <w:rFonts w:ascii="Arial" w:hAnsi="Arial" w:cs="Arial"/>
                <w:sz w:val="20"/>
                <w:szCs w:val="20"/>
              </w:rPr>
            </w:pPr>
          </w:p>
        </w:tc>
        <w:tc>
          <w:tcPr>
            <w:tcW w:w="4664" w:type="dxa"/>
            <w:gridSpan w:val="3"/>
          </w:tcPr>
          <w:p w14:paraId="7906C93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Media: 2,35 </w:t>
            </w:r>
          </w:p>
          <w:p w14:paraId="1462C32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Desviación estándar: 1,49 </w:t>
            </w:r>
          </w:p>
          <w:p w14:paraId="2BE5D6EF"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Mínimo: 0,5 </w:t>
            </w:r>
          </w:p>
          <w:p w14:paraId="2B735CE7" w14:textId="77777777" w:rsidR="00F726BD" w:rsidRPr="00FB6367" w:rsidRDefault="00F726BD" w:rsidP="00302CCF">
            <w:pPr>
              <w:spacing w:line="360" w:lineRule="auto"/>
              <w:jc w:val="both"/>
              <w:rPr>
                <w:rFonts w:ascii="Arial" w:hAnsi="Arial" w:cs="Arial"/>
                <w:sz w:val="20"/>
                <w:szCs w:val="20"/>
                <w:lang w:val="es-419"/>
              </w:rPr>
            </w:pPr>
            <w:r w:rsidRPr="00FB6367">
              <w:rPr>
                <w:rFonts w:ascii="Arial" w:hAnsi="Arial" w:cs="Arial"/>
                <w:sz w:val="20"/>
                <w:szCs w:val="20"/>
                <w:lang w:val="es-419"/>
              </w:rPr>
              <w:t xml:space="preserve">Máximo: 6 </w:t>
            </w:r>
          </w:p>
        </w:tc>
      </w:tr>
      <w:tr w:rsidR="00F726BD" w:rsidRPr="00B53F3A" w14:paraId="7A00F27C" w14:textId="77777777" w:rsidTr="00FB6367">
        <w:trPr>
          <w:trHeight w:val="40"/>
          <w:jc w:val="center"/>
        </w:trPr>
        <w:tc>
          <w:tcPr>
            <w:tcW w:w="2653" w:type="dxa"/>
            <w:vMerge w:val="restart"/>
            <w:vAlign w:val="center"/>
            <w:hideMark/>
          </w:tcPr>
          <w:p w14:paraId="6F5E4B8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Edad en años del paciente en la primera crisis epiléptica</w:t>
            </w:r>
          </w:p>
        </w:tc>
        <w:tc>
          <w:tcPr>
            <w:tcW w:w="2680" w:type="dxa"/>
            <w:hideMark/>
          </w:tcPr>
          <w:p w14:paraId="0F83E717"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0-9</w:t>
            </w:r>
          </w:p>
        </w:tc>
        <w:tc>
          <w:tcPr>
            <w:tcW w:w="953" w:type="dxa"/>
            <w:hideMark/>
          </w:tcPr>
          <w:p w14:paraId="524512A1"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23</w:t>
            </w:r>
          </w:p>
        </w:tc>
        <w:tc>
          <w:tcPr>
            <w:tcW w:w="951" w:type="dxa"/>
            <w:hideMark/>
          </w:tcPr>
          <w:p w14:paraId="3EE889F3"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100</w:t>
            </w:r>
          </w:p>
        </w:tc>
      </w:tr>
      <w:tr w:rsidR="00F726BD" w:rsidRPr="00B53F3A" w14:paraId="7AC48008" w14:textId="77777777" w:rsidTr="00FB6367">
        <w:trPr>
          <w:trHeight w:val="43"/>
          <w:jc w:val="center"/>
        </w:trPr>
        <w:tc>
          <w:tcPr>
            <w:tcW w:w="2653" w:type="dxa"/>
            <w:vMerge/>
            <w:vAlign w:val="center"/>
            <w:hideMark/>
          </w:tcPr>
          <w:p w14:paraId="11637CA1"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30B0F073"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10-14 </w:t>
            </w:r>
          </w:p>
        </w:tc>
        <w:tc>
          <w:tcPr>
            <w:tcW w:w="953" w:type="dxa"/>
            <w:hideMark/>
          </w:tcPr>
          <w:p w14:paraId="0F053BF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c>
          <w:tcPr>
            <w:tcW w:w="951" w:type="dxa"/>
            <w:hideMark/>
          </w:tcPr>
          <w:p w14:paraId="56D9C0C1"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r>
      <w:tr w:rsidR="00F726BD" w:rsidRPr="00B53F3A" w14:paraId="0346923C" w14:textId="77777777" w:rsidTr="00FB6367">
        <w:trPr>
          <w:trHeight w:val="48"/>
          <w:jc w:val="center"/>
        </w:trPr>
        <w:tc>
          <w:tcPr>
            <w:tcW w:w="2653" w:type="dxa"/>
            <w:vMerge/>
            <w:vAlign w:val="center"/>
            <w:hideMark/>
          </w:tcPr>
          <w:p w14:paraId="5F709D87"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7E583029"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15-19 </w:t>
            </w:r>
          </w:p>
        </w:tc>
        <w:tc>
          <w:tcPr>
            <w:tcW w:w="953" w:type="dxa"/>
            <w:hideMark/>
          </w:tcPr>
          <w:p w14:paraId="183C9938"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c>
          <w:tcPr>
            <w:tcW w:w="951" w:type="dxa"/>
            <w:hideMark/>
          </w:tcPr>
          <w:p w14:paraId="67CECACA"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0</w:t>
            </w:r>
          </w:p>
        </w:tc>
      </w:tr>
      <w:tr w:rsidR="00F726BD" w:rsidRPr="00B53F3A" w14:paraId="6D3B881F" w14:textId="77777777" w:rsidTr="00FB6367">
        <w:trPr>
          <w:trHeight w:val="284"/>
          <w:jc w:val="center"/>
        </w:trPr>
        <w:tc>
          <w:tcPr>
            <w:tcW w:w="2653" w:type="dxa"/>
            <w:vMerge/>
            <w:vAlign w:val="center"/>
          </w:tcPr>
          <w:p w14:paraId="4564BC06" w14:textId="77777777" w:rsidR="00F726BD" w:rsidRPr="00FB6367" w:rsidRDefault="00F726BD" w:rsidP="00302CCF">
            <w:pPr>
              <w:spacing w:line="360" w:lineRule="auto"/>
              <w:jc w:val="both"/>
              <w:rPr>
                <w:rFonts w:ascii="Arial" w:hAnsi="Arial" w:cs="Arial"/>
                <w:sz w:val="20"/>
                <w:szCs w:val="20"/>
              </w:rPr>
            </w:pPr>
          </w:p>
        </w:tc>
        <w:tc>
          <w:tcPr>
            <w:tcW w:w="4664" w:type="dxa"/>
            <w:gridSpan w:val="3"/>
          </w:tcPr>
          <w:p w14:paraId="448DFCD0"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Media: 3,1 </w:t>
            </w:r>
          </w:p>
          <w:p w14:paraId="16287EBF"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Desviación estándar: 2,03 </w:t>
            </w:r>
          </w:p>
          <w:p w14:paraId="2A932E4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Mínimo: 0,1</w:t>
            </w:r>
          </w:p>
          <w:p w14:paraId="6B63C2F8" w14:textId="77777777" w:rsidR="00F726BD" w:rsidRPr="00FB6367" w:rsidRDefault="00F726BD" w:rsidP="00302CCF">
            <w:pPr>
              <w:spacing w:line="360" w:lineRule="auto"/>
              <w:jc w:val="both"/>
              <w:rPr>
                <w:rFonts w:ascii="Arial" w:hAnsi="Arial" w:cs="Arial"/>
                <w:sz w:val="20"/>
                <w:szCs w:val="20"/>
                <w:lang w:val="es-419"/>
              </w:rPr>
            </w:pPr>
            <w:r w:rsidRPr="00FB6367">
              <w:rPr>
                <w:rFonts w:ascii="Arial" w:hAnsi="Arial" w:cs="Arial"/>
                <w:sz w:val="20"/>
                <w:szCs w:val="20"/>
                <w:lang w:val="es-419"/>
              </w:rPr>
              <w:t xml:space="preserve">Máximo: 7 </w:t>
            </w:r>
          </w:p>
        </w:tc>
      </w:tr>
      <w:tr w:rsidR="00F726BD" w:rsidRPr="00B53F3A" w14:paraId="0DFD23B1" w14:textId="77777777" w:rsidTr="00FB6367">
        <w:trPr>
          <w:trHeight w:val="19"/>
          <w:jc w:val="center"/>
        </w:trPr>
        <w:tc>
          <w:tcPr>
            <w:tcW w:w="2653" w:type="dxa"/>
            <w:vMerge w:val="restart"/>
            <w:vAlign w:val="center"/>
            <w:hideMark/>
          </w:tcPr>
          <w:p w14:paraId="1FE1F9F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Edad gestacional del paciente </w:t>
            </w:r>
          </w:p>
          <w:p w14:paraId="3B40019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en el momento de su nacimiento </w:t>
            </w:r>
          </w:p>
          <w:p w14:paraId="218A4E9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(semanas)</w:t>
            </w:r>
          </w:p>
        </w:tc>
        <w:tc>
          <w:tcPr>
            <w:tcW w:w="2680" w:type="dxa"/>
            <w:hideMark/>
          </w:tcPr>
          <w:p w14:paraId="51F66C18"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Menos de 32 </w:t>
            </w:r>
          </w:p>
        </w:tc>
        <w:tc>
          <w:tcPr>
            <w:tcW w:w="953" w:type="dxa"/>
            <w:vAlign w:val="center"/>
            <w:hideMark/>
          </w:tcPr>
          <w:p w14:paraId="759DC21C"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2</w:t>
            </w:r>
          </w:p>
        </w:tc>
        <w:tc>
          <w:tcPr>
            <w:tcW w:w="951" w:type="dxa"/>
            <w:vAlign w:val="center"/>
            <w:hideMark/>
          </w:tcPr>
          <w:p w14:paraId="402CB3DE"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8,7</w:t>
            </w:r>
          </w:p>
        </w:tc>
      </w:tr>
      <w:tr w:rsidR="00F726BD" w:rsidRPr="00B53F3A" w14:paraId="269F2FF9" w14:textId="77777777" w:rsidTr="00FB6367">
        <w:trPr>
          <w:trHeight w:val="102"/>
          <w:jc w:val="center"/>
        </w:trPr>
        <w:tc>
          <w:tcPr>
            <w:tcW w:w="2653" w:type="dxa"/>
            <w:vMerge/>
            <w:vAlign w:val="center"/>
            <w:hideMark/>
          </w:tcPr>
          <w:p w14:paraId="434F0130"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48ED57A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32-37 </w:t>
            </w:r>
          </w:p>
        </w:tc>
        <w:tc>
          <w:tcPr>
            <w:tcW w:w="953" w:type="dxa"/>
            <w:vAlign w:val="center"/>
            <w:hideMark/>
          </w:tcPr>
          <w:p w14:paraId="54481A2D"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w:t>
            </w:r>
          </w:p>
        </w:tc>
        <w:tc>
          <w:tcPr>
            <w:tcW w:w="951" w:type="dxa"/>
            <w:vAlign w:val="center"/>
            <w:hideMark/>
          </w:tcPr>
          <w:p w14:paraId="6D2103E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4,3</w:t>
            </w:r>
          </w:p>
        </w:tc>
      </w:tr>
      <w:tr w:rsidR="00F726BD" w:rsidRPr="00B53F3A" w14:paraId="61B6A8B2" w14:textId="77777777" w:rsidTr="00FB6367">
        <w:trPr>
          <w:trHeight w:val="24"/>
          <w:jc w:val="center"/>
        </w:trPr>
        <w:tc>
          <w:tcPr>
            <w:tcW w:w="2653" w:type="dxa"/>
            <w:vMerge/>
            <w:vAlign w:val="center"/>
            <w:hideMark/>
          </w:tcPr>
          <w:p w14:paraId="44003DE5"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58535D3F"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38-42 </w:t>
            </w:r>
          </w:p>
        </w:tc>
        <w:tc>
          <w:tcPr>
            <w:tcW w:w="953" w:type="dxa"/>
            <w:vAlign w:val="center"/>
            <w:hideMark/>
          </w:tcPr>
          <w:p w14:paraId="112D18AD"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18</w:t>
            </w:r>
          </w:p>
        </w:tc>
        <w:tc>
          <w:tcPr>
            <w:tcW w:w="951" w:type="dxa"/>
            <w:vAlign w:val="center"/>
            <w:hideMark/>
          </w:tcPr>
          <w:p w14:paraId="0A184FB6"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78,3</w:t>
            </w:r>
          </w:p>
        </w:tc>
      </w:tr>
      <w:tr w:rsidR="00F726BD" w:rsidRPr="00B53F3A" w14:paraId="2CC3C697" w14:textId="77777777" w:rsidTr="00FB6367">
        <w:trPr>
          <w:trHeight w:val="85"/>
          <w:jc w:val="center"/>
        </w:trPr>
        <w:tc>
          <w:tcPr>
            <w:tcW w:w="2653" w:type="dxa"/>
            <w:vMerge/>
            <w:noWrap/>
            <w:vAlign w:val="center"/>
            <w:hideMark/>
          </w:tcPr>
          <w:p w14:paraId="37729B9E"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42C8C5E7"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 xml:space="preserve">Más de 42 </w:t>
            </w:r>
          </w:p>
        </w:tc>
        <w:tc>
          <w:tcPr>
            <w:tcW w:w="953" w:type="dxa"/>
            <w:vAlign w:val="center"/>
            <w:hideMark/>
          </w:tcPr>
          <w:p w14:paraId="2B5D1007"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2</w:t>
            </w:r>
          </w:p>
        </w:tc>
        <w:tc>
          <w:tcPr>
            <w:tcW w:w="951" w:type="dxa"/>
            <w:vAlign w:val="center"/>
            <w:hideMark/>
          </w:tcPr>
          <w:p w14:paraId="2C3C9F9B"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8,7</w:t>
            </w:r>
          </w:p>
        </w:tc>
      </w:tr>
      <w:tr w:rsidR="00F726BD" w:rsidRPr="00B53F3A" w14:paraId="02364904" w14:textId="77777777" w:rsidTr="00FB6367">
        <w:trPr>
          <w:trHeight w:val="19"/>
          <w:jc w:val="center"/>
        </w:trPr>
        <w:tc>
          <w:tcPr>
            <w:tcW w:w="2653" w:type="dxa"/>
            <w:vMerge w:val="restart"/>
            <w:vAlign w:val="center"/>
            <w:hideMark/>
          </w:tcPr>
          <w:p w14:paraId="6DA65B0E"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Trastorno de déficit intelectual</w:t>
            </w:r>
          </w:p>
        </w:tc>
        <w:tc>
          <w:tcPr>
            <w:tcW w:w="2680" w:type="dxa"/>
            <w:hideMark/>
          </w:tcPr>
          <w:p w14:paraId="22001DE0"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Sí</w:t>
            </w:r>
          </w:p>
        </w:tc>
        <w:tc>
          <w:tcPr>
            <w:tcW w:w="953" w:type="dxa"/>
            <w:vAlign w:val="center"/>
            <w:hideMark/>
          </w:tcPr>
          <w:p w14:paraId="7986E287"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15</w:t>
            </w:r>
          </w:p>
        </w:tc>
        <w:tc>
          <w:tcPr>
            <w:tcW w:w="951" w:type="dxa"/>
            <w:vAlign w:val="center"/>
            <w:hideMark/>
          </w:tcPr>
          <w:p w14:paraId="46AD522C"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65,2</w:t>
            </w:r>
          </w:p>
        </w:tc>
      </w:tr>
      <w:tr w:rsidR="00F726BD" w:rsidRPr="00B53F3A" w14:paraId="7EA9474F" w14:textId="77777777" w:rsidTr="00FB6367">
        <w:trPr>
          <w:trHeight w:val="82"/>
          <w:jc w:val="center"/>
        </w:trPr>
        <w:tc>
          <w:tcPr>
            <w:tcW w:w="2653" w:type="dxa"/>
            <w:vMerge/>
            <w:vAlign w:val="center"/>
            <w:hideMark/>
          </w:tcPr>
          <w:p w14:paraId="779BC88F" w14:textId="77777777" w:rsidR="00F726BD" w:rsidRPr="00FB6367" w:rsidRDefault="00F726BD" w:rsidP="00302CCF">
            <w:pPr>
              <w:spacing w:line="360" w:lineRule="auto"/>
              <w:jc w:val="both"/>
              <w:rPr>
                <w:rFonts w:ascii="Arial" w:hAnsi="Arial" w:cs="Arial"/>
                <w:sz w:val="20"/>
                <w:szCs w:val="20"/>
              </w:rPr>
            </w:pPr>
          </w:p>
        </w:tc>
        <w:tc>
          <w:tcPr>
            <w:tcW w:w="2680" w:type="dxa"/>
            <w:hideMark/>
          </w:tcPr>
          <w:p w14:paraId="2E6A194D"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No</w:t>
            </w:r>
          </w:p>
        </w:tc>
        <w:tc>
          <w:tcPr>
            <w:tcW w:w="953" w:type="dxa"/>
            <w:vAlign w:val="center"/>
            <w:hideMark/>
          </w:tcPr>
          <w:p w14:paraId="37597969"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8</w:t>
            </w:r>
          </w:p>
        </w:tc>
        <w:tc>
          <w:tcPr>
            <w:tcW w:w="951" w:type="dxa"/>
            <w:vAlign w:val="center"/>
            <w:hideMark/>
          </w:tcPr>
          <w:p w14:paraId="7E939432"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34,8</w:t>
            </w:r>
          </w:p>
        </w:tc>
      </w:tr>
      <w:tr w:rsidR="00F726BD" w:rsidRPr="00B53F3A" w14:paraId="1AF9D581" w14:textId="77777777" w:rsidTr="00FB6367">
        <w:trPr>
          <w:trHeight w:val="275"/>
          <w:jc w:val="center"/>
        </w:trPr>
        <w:tc>
          <w:tcPr>
            <w:tcW w:w="2653" w:type="dxa"/>
            <w:vMerge w:val="restart"/>
            <w:vAlign w:val="center"/>
            <w:hideMark/>
          </w:tcPr>
          <w:p w14:paraId="3F21995C"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Factores de riesgo*</w:t>
            </w:r>
          </w:p>
        </w:tc>
        <w:tc>
          <w:tcPr>
            <w:tcW w:w="2680" w:type="dxa"/>
            <w:hideMark/>
          </w:tcPr>
          <w:p w14:paraId="07053B69"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Infecciones durante el embarazo</w:t>
            </w:r>
          </w:p>
        </w:tc>
        <w:tc>
          <w:tcPr>
            <w:tcW w:w="953" w:type="dxa"/>
            <w:vAlign w:val="center"/>
            <w:hideMark/>
          </w:tcPr>
          <w:p w14:paraId="6EC4EE9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3</w:t>
            </w:r>
          </w:p>
        </w:tc>
        <w:tc>
          <w:tcPr>
            <w:tcW w:w="951" w:type="dxa"/>
            <w:vAlign w:val="center"/>
            <w:hideMark/>
          </w:tcPr>
          <w:p w14:paraId="14018FE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13</w:t>
            </w:r>
          </w:p>
        </w:tc>
      </w:tr>
      <w:tr w:rsidR="00F726BD" w:rsidRPr="00B53F3A" w14:paraId="22010EDE" w14:textId="77777777" w:rsidTr="00FB6367">
        <w:trPr>
          <w:trHeight w:val="261"/>
          <w:jc w:val="center"/>
        </w:trPr>
        <w:tc>
          <w:tcPr>
            <w:tcW w:w="2653" w:type="dxa"/>
            <w:vMerge/>
            <w:hideMark/>
          </w:tcPr>
          <w:p w14:paraId="7D8067C3" w14:textId="77777777" w:rsidR="00F726BD" w:rsidRPr="00B53F3A" w:rsidRDefault="00F726BD" w:rsidP="00302CCF">
            <w:pPr>
              <w:spacing w:line="360" w:lineRule="auto"/>
              <w:jc w:val="both"/>
              <w:rPr>
                <w:rFonts w:ascii="Arial" w:hAnsi="Arial" w:cs="Arial"/>
                <w:sz w:val="24"/>
                <w:szCs w:val="24"/>
              </w:rPr>
            </w:pPr>
          </w:p>
        </w:tc>
        <w:tc>
          <w:tcPr>
            <w:tcW w:w="2680" w:type="dxa"/>
            <w:hideMark/>
          </w:tcPr>
          <w:p w14:paraId="4219A2FE"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Consumo de alcohol de la madre durante el embarazo</w:t>
            </w:r>
          </w:p>
        </w:tc>
        <w:tc>
          <w:tcPr>
            <w:tcW w:w="953" w:type="dxa"/>
            <w:vAlign w:val="center"/>
            <w:hideMark/>
          </w:tcPr>
          <w:p w14:paraId="6C8ECD8D"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w:t>
            </w:r>
          </w:p>
        </w:tc>
        <w:tc>
          <w:tcPr>
            <w:tcW w:w="951" w:type="dxa"/>
            <w:vAlign w:val="center"/>
            <w:hideMark/>
          </w:tcPr>
          <w:p w14:paraId="3D708DEA"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4,3</w:t>
            </w:r>
          </w:p>
        </w:tc>
      </w:tr>
      <w:tr w:rsidR="00F726BD" w:rsidRPr="00B53F3A" w14:paraId="581AB8A7" w14:textId="77777777" w:rsidTr="00FB6367">
        <w:trPr>
          <w:trHeight w:val="424"/>
          <w:jc w:val="center"/>
        </w:trPr>
        <w:tc>
          <w:tcPr>
            <w:tcW w:w="2653" w:type="dxa"/>
            <w:vMerge/>
            <w:hideMark/>
          </w:tcPr>
          <w:p w14:paraId="1DA431B8" w14:textId="77777777" w:rsidR="00F726BD" w:rsidRPr="00B53F3A" w:rsidRDefault="00F726BD" w:rsidP="00302CCF">
            <w:pPr>
              <w:spacing w:line="360" w:lineRule="auto"/>
              <w:jc w:val="both"/>
              <w:rPr>
                <w:rFonts w:ascii="Arial" w:hAnsi="Arial" w:cs="Arial"/>
                <w:sz w:val="24"/>
                <w:szCs w:val="24"/>
              </w:rPr>
            </w:pPr>
          </w:p>
        </w:tc>
        <w:tc>
          <w:tcPr>
            <w:tcW w:w="2680" w:type="dxa"/>
            <w:hideMark/>
          </w:tcPr>
          <w:p w14:paraId="3F1415DE"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 xml:space="preserve">Exposición a la nicotina </w:t>
            </w:r>
          </w:p>
          <w:p w14:paraId="0097BE1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de la madre durante el embarazo</w:t>
            </w:r>
          </w:p>
        </w:tc>
        <w:tc>
          <w:tcPr>
            <w:tcW w:w="953" w:type="dxa"/>
            <w:vAlign w:val="center"/>
            <w:hideMark/>
          </w:tcPr>
          <w:p w14:paraId="5863528A"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3</w:t>
            </w:r>
          </w:p>
        </w:tc>
        <w:tc>
          <w:tcPr>
            <w:tcW w:w="951" w:type="dxa"/>
            <w:vAlign w:val="center"/>
            <w:hideMark/>
          </w:tcPr>
          <w:p w14:paraId="75625318"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13</w:t>
            </w:r>
          </w:p>
        </w:tc>
      </w:tr>
      <w:tr w:rsidR="00F726BD" w:rsidRPr="00B53F3A" w14:paraId="0FFB474E" w14:textId="77777777" w:rsidTr="00FB6367">
        <w:trPr>
          <w:trHeight w:val="134"/>
          <w:jc w:val="center"/>
        </w:trPr>
        <w:tc>
          <w:tcPr>
            <w:tcW w:w="2653" w:type="dxa"/>
            <w:vMerge/>
            <w:hideMark/>
          </w:tcPr>
          <w:p w14:paraId="142ABF1B" w14:textId="77777777" w:rsidR="00F726BD" w:rsidRPr="00B53F3A" w:rsidRDefault="00F726BD" w:rsidP="00302CCF">
            <w:pPr>
              <w:spacing w:line="360" w:lineRule="auto"/>
              <w:jc w:val="both"/>
              <w:rPr>
                <w:rFonts w:ascii="Arial" w:hAnsi="Arial" w:cs="Arial"/>
                <w:sz w:val="24"/>
                <w:szCs w:val="24"/>
              </w:rPr>
            </w:pPr>
          </w:p>
        </w:tc>
        <w:tc>
          <w:tcPr>
            <w:tcW w:w="2680" w:type="dxa"/>
            <w:hideMark/>
          </w:tcPr>
          <w:p w14:paraId="46F2198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Antecedentes patológicos maternos de epilepsia</w:t>
            </w:r>
          </w:p>
        </w:tc>
        <w:tc>
          <w:tcPr>
            <w:tcW w:w="953" w:type="dxa"/>
            <w:vAlign w:val="center"/>
            <w:hideMark/>
          </w:tcPr>
          <w:p w14:paraId="50C9CB52"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2</w:t>
            </w:r>
          </w:p>
        </w:tc>
        <w:tc>
          <w:tcPr>
            <w:tcW w:w="951" w:type="dxa"/>
            <w:vAlign w:val="center"/>
            <w:hideMark/>
          </w:tcPr>
          <w:p w14:paraId="6889F7FB"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8,7</w:t>
            </w:r>
          </w:p>
        </w:tc>
      </w:tr>
      <w:tr w:rsidR="00F726BD" w:rsidRPr="00B53F3A" w14:paraId="792BE5FC" w14:textId="77777777" w:rsidTr="00FB6367">
        <w:trPr>
          <w:trHeight w:val="126"/>
          <w:jc w:val="center"/>
        </w:trPr>
        <w:tc>
          <w:tcPr>
            <w:tcW w:w="2653" w:type="dxa"/>
            <w:vMerge/>
            <w:hideMark/>
          </w:tcPr>
          <w:p w14:paraId="35EB3D20" w14:textId="77777777" w:rsidR="00F726BD" w:rsidRPr="00B53F3A" w:rsidRDefault="00F726BD" w:rsidP="00302CCF">
            <w:pPr>
              <w:spacing w:line="360" w:lineRule="auto"/>
              <w:jc w:val="both"/>
              <w:rPr>
                <w:rFonts w:ascii="Arial" w:hAnsi="Arial" w:cs="Arial"/>
                <w:sz w:val="24"/>
                <w:szCs w:val="24"/>
              </w:rPr>
            </w:pPr>
          </w:p>
        </w:tc>
        <w:tc>
          <w:tcPr>
            <w:tcW w:w="2680" w:type="dxa"/>
            <w:hideMark/>
          </w:tcPr>
          <w:p w14:paraId="1C94BA89"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Ninguno</w:t>
            </w:r>
          </w:p>
        </w:tc>
        <w:tc>
          <w:tcPr>
            <w:tcW w:w="953" w:type="dxa"/>
            <w:vAlign w:val="center"/>
            <w:hideMark/>
          </w:tcPr>
          <w:p w14:paraId="10C4DF4E"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14</w:t>
            </w:r>
          </w:p>
        </w:tc>
        <w:tc>
          <w:tcPr>
            <w:tcW w:w="951" w:type="dxa"/>
            <w:vAlign w:val="center"/>
            <w:hideMark/>
          </w:tcPr>
          <w:p w14:paraId="6BB77C64" w14:textId="77777777" w:rsidR="00F726BD" w:rsidRPr="00FB6367" w:rsidRDefault="00F726BD" w:rsidP="00302CCF">
            <w:pPr>
              <w:spacing w:line="360" w:lineRule="auto"/>
              <w:jc w:val="both"/>
              <w:rPr>
                <w:rFonts w:ascii="Arial" w:hAnsi="Arial" w:cs="Arial"/>
                <w:sz w:val="20"/>
                <w:szCs w:val="20"/>
              </w:rPr>
            </w:pPr>
            <w:r w:rsidRPr="00FB6367">
              <w:rPr>
                <w:rFonts w:ascii="Arial" w:hAnsi="Arial" w:cs="Arial"/>
                <w:sz w:val="20"/>
                <w:szCs w:val="20"/>
              </w:rPr>
              <w:t>60,9</w:t>
            </w:r>
          </w:p>
        </w:tc>
      </w:tr>
    </w:tbl>
    <w:p w14:paraId="2422F6D9" w14:textId="77777777" w:rsidR="00F726BD" w:rsidRPr="00FB6367" w:rsidRDefault="00F726BD" w:rsidP="00FB6367">
      <w:pPr>
        <w:spacing w:before="120" w:after="0" w:line="360" w:lineRule="auto"/>
        <w:jc w:val="center"/>
        <w:rPr>
          <w:rFonts w:ascii="Arial" w:hAnsi="Arial" w:cs="Arial"/>
          <w:sz w:val="20"/>
          <w:szCs w:val="20"/>
          <w:lang w:val="es-ES"/>
        </w:rPr>
      </w:pPr>
      <w:r w:rsidRPr="00FB6367">
        <w:rPr>
          <w:rFonts w:ascii="Arial" w:hAnsi="Arial" w:cs="Arial"/>
          <w:sz w:val="20"/>
          <w:szCs w:val="20"/>
        </w:rPr>
        <w:t>Tamaño de la población: 23.</w:t>
      </w:r>
    </w:p>
    <w:p w14:paraId="6C64B7E0" w14:textId="77777777" w:rsidR="00F726BD" w:rsidRPr="00FB6367" w:rsidRDefault="00F726BD" w:rsidP="00FB6367">
      <w:pPr>
        <w:spacing w:after="0" w:line="360" w:lineRule="auto"/>
        <w:jc w:val="center"/>
        <w:rPr>
          <w:rFonts w:ascii="Arial" w:hAnsi="Arial" w:cs="Arial"/>
          <w:sz w:val="20"/>
          <w:szCs w:val="20"/>
          <w:lang w:val="es-ES"/>
        </w:rPr>
      </w:pPr>
      <w:r w:rsidRPr="00FB6367">
        <w:rPr>
          <w:rFonts w:ascii="Arial" w:hAnsi="Arial" w:cs="Arial"/>
          <w:sz w:val="20"/>
          <w:szCs w:val="20"/>
          <w:lang w:val="es-ES"/>
        </w:rPr>
        <w:t>*En ningún caso se presentó más de un factor de riesgo a la vez.</w:t>
      </w:r>
    </w:p>
    <w:p w14:paraId="6640FDCC"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Las crisis epilépticas generalizadas fueron las más frecuentes (n = 12; 52,17 %). El TEA congénito se presentó más comúnmente entre los pacientes estudiados (n = 16; 69,57 %), fundamentalmente en aquellos con crisis generalizadas (n = 8; 34,78 %). La mayoría de los individuos presentó un TEA profundo (n = 20; 86,96 %), igualmente con predominio de la presencia de crisis generalizadas (n = 11; 47,83 %). La causa más frecuente de TEA fue la LESNC-SOC (n = 7; 30,43 %), solo superada en número por el origen idiopático (n = 8; 64,78) (Tabla 2).</w:t>
      </w:r>
    </w:p>
    <w:p w14:paraId="66556727" w14:textId="77777777" w:rsidR="00F726BD" w:rsidRPr="00B53F3A" w:rsidRDefault="00F726BD" w:rsidP="00F726BD">
      <w:pPr>
        <w:spacing w:after="0" w:line="360" w:lineRule="auto"/>
        <w:jc w:val="both"/>
        <w:rPr>
          <w:rFonts w:ascii="Arial" w:hAnsi="Arial" w:cs="Arial"/>
          <w:sz w:val="24"/>
          <w:szCs w:val="24"/>
          <w:lang w:val="es-ES"/>
        </w:rPr>
      </w:pPr>
    </w:p>
    <w:p w14:paraId="75634085"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b/>
          <w:sz w:val="24"/>
          <w:szCs w:val="24"/>
          <w:lang w:val="es-ES"/>
        </w:rPr>
        <w:t>Tabla 2</w:t>
      </w:r>
      <w:r w:rsidRPr="00B53F3A">
        <w:rPr>
          <w:rFonts w:ascii="Arial" w:hAnsi="Arial" w:cs="Arial"/>
          <w:sz w:val="24"/>
          <w:szCs w:val="24"/>
          <w:lang w:val="es-ES"/>
        </w:rPr>
        <w:t xml:space="preserve"> – Distribución según la variable tipo de crisis epiléptica con las variables del TEA </w:t>
      </w:r>
    </w:p>
    <w:tbl>
      <w:tblPr>
        <w:tblStyle w:val="Estilo1"/>
        <w:tblW w:w="10848" w:type="dxa"/>
        <w:jc w:val="center"/>
        <w:tblLook w:val="04A0" w:firstRow="1" w:lastRow="0" w:firstColumn="1" w:lastColumn="0" w:noHBand="0" w:noVBand="1"/>
      </w:tblPr>
      <w:tblGrid>
        <w:gridCol w:w="1542"/>
        <w:gridCol w:w="2518"/>
        <w:gridCol w:w="822"/>
        <w:gridCol w:w="901"/>
        <w:gridCol w:w="898"/>
        <w:gridCol w:w="901"/>
        <w:gridCol w:w="837"/>
        <w:gridCol w:w="901"/>
        <w:gridCol w:w="950"/>
        <w:gridCol w:w="878"/>
      </w:tblGrid>
      <w:tr w:rsidR="00F726BD" w:rsidRPr="00B53F3A" w14:paraId="6DFC701A" w14:textId="77777777" w:rsidTr="00302CCF">
        <w:trPr>
          <w:cnfStyle w:val="100000000000" w:firstRow="1" w:lastRow="0" w:firstColumn="0" w:lastColumn="0" w:oddVBand="0" w:evenVBand="0" w:oddHBand="0" w:evenHBand="0" w:firstRowFirstColumn="0" w:firstRowLastColumn="0" w:lastRowFirstColumn="0" w:lastRowLastColumn="0"/>
          <w:trHeight w:val="166"/>
          <w:jc w:val="center"/>
        </w:trPr>
        <w:tc>
          <w:tcPr>
            <w:tcW w:w="3940" w:type="dxa"/>
            <w:gridSpan w:val="2"/>
            <w:vMerge w:val="restart"/>
            <w:noWrap/>
            <w:vAlign w:val="center"/>
            <w:hideMark/>
          </w:tcPr>
          <w:p w14:paraId="7BAF2A18" w14:textId="77777777" w:rsidR="00F726BD" w:rsidRPr="00051D01" w:rsidRDefault="00F726BD" w:rsidP="00302CCF">
            <w:pPr>
              <w:spacing w:line="360" w:lineRule="auto"/>
              <w:jc w:val="both"/>
              <w:rPr>
                <w:rFonts w:ascii="Arial" w:hAnsi="Arial" w:cs="Arial"/>
                <w:b/>
                <w:sz w:val="20"/>
                <w:szCs w:val="20"/>
                <w:lang w:val="es-ES"/>
              </w:rPr>
            </w:pPr>
            <w:r w:rsidRPr="00051D01">
              <w:rPr>
                <w:rFonts w:ascii="Arial" w:hAnsi="Arial" w:cs="Arial"/>
                <w:b/>
                <w:sz w:val="20"/>
                <w:szCs w:val="20"/>
                <w:lang w:val="es-ES"/>
              </w:rPr>
              <w:lastRenderedPageBreak/>
              <w:t>Variables</w:t>
            </w:r>
          </w:p>
        </w:tc>
        <w:tc>
          <w:tcPr>
            <w:tcW w:w="5040" w:type="dxa"/>
            <w:gridSpan w:val="6"/>
            <w:noWrap/>
            <w:vAlign w:val="center"/>
            <w:hideMark/>
          </w:tcPr>
          <w:p w14:paraId="09EEDD9F"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Tipo de crisis epiléptica</w:t>
            </w:r>
          </w:p>
        </w:tc>
        <w:tc>
          <w:tcPr>
            <w:tcW w:w="1708" w:type="dxa"/>
            <w:gridSpan w:val="2"/>
            <w:vMerge w:val="restart"/>
            <w:vAlign w:val="center"/>
          </w:tcPr>
          <w:p w14:paraId="2BB8DCD4"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Total</w:t>
            </w:r>
          </w:p>
        </w:tc>
      </w:tr>
      <w:tr w:rsidR="00F726BD" w:rsidRPr="00B53F3A" w14:paraId="24C667DD" w14:textId="77777777" w:rsidTr="00302CCF">
        <w:trPr>
          <w:trHeight w:val="166"/>
          <w:jc w:val="center"/>
        </w:trPr>
        <w:tc>
          <w:tcPr>
            <w:tcW w:w="3940" w:type="dxa"/>
            <w:gridSpan w:val="2"/>
            <w:vMerge/>
            <w:noWrap/>
            <w:vAlign w:val="center"/>
            <w:hideMark/>
          </w:tcPr>
          <w:p w14:paraId="08659367" w14:textId="77777777" w:rsidR="00F726BD" w:rsidRPr="00051D01" w:rsidRDefault="00F726BD" w:rsidP="00302CCF">
            <w:pPr>
              <w:spacing w:line="360" w:lineRule="auto"/>
              <w:jc w:val="both"/>
              <w:rPr>
                <w:rFonts w:ascii="Arial" w:hAnsi="Arial" w:cs="Arial"/>
                <w:b/>
                <w:sz w:val="20"/>
                <w:szCs w:val="20"/>
                <w:lang w:val="es-ES"/>
              </w:rPr>
            </w:pPr>
          </w:p>
        </w:tc>
        <w:tc>
          <w:tcPr>
            <w:tcW w:w="1623" w:type="dxa"/>
            <w:gridSpan w:val="2"/>
            <w:noWrap/>
            <w:vAlign w:val="center"/>
            <w:hideMark/>
          </w:tcPr>
          <w:p w14:paraId="3BD496EF"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Generalizada</w:t>
            </w:r>
          </w:p>
        </w:tc>
        <w:tc>
          <w:tcPr>
            <w:tcW w:w="1699" w:type="dxa"/>
            <w:gridSpan w:val="2"/>
            <w:noWrap/>
            <w:vAlign w:val="center"/>
            <w:hideMark/>
          </w:tcPr>
          <w:p w14:paraId="65AF115C"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Focal</w:t>
            </w:r>
          </w:p>
        </w:tc>
        <w:tc>
          <w:tcPr>
            <w:tcW w:w="1638" w:type="dxa"/>
            <w:gridSpan w:val="2"/>
            <w:noWrap/>
            <w:vAlign w:val="center"/>
            <w:hideMark/>
          </w:tcPr>
          <w:p w14:paraId="0839DBA7"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De inicio desconocido</w:t>
            </w:r>
          </w:p>
        </w:tc>
        <w:tc>
          <w:tcPr>
            <w:tcW w:w="1708" w:type="dxa"/>
            <w:gridSpan w:val="2"/>
            <w:vMerge/>
            <w:noWrap/>
            <w:vAlign w:val="center"/>
            <w:hideMark/>
          </w:tcPr>
          <w:p w14:paraId="2EAC585B" w14:textId="77777777" w:rsidR="00F726BD" w:rsidRPr="00FB6367" w:rsidRDefault="00F726BD" w:rsidP="00302CCF">
            <w:pPr>
              <w:spacing w:line="360" w:lineRule="auto"/>
              <w:jc w:val="both"/>
              <w:rPr>
                <w:rFonts w:ascii="Arial" w:hAnsi="Arial" w:cs="Arial"/>
                <w:b/>
                <w:sz w:val="20"/>
                <w:szCs w:val="20"/>
                <w:lang w:val="es-ES"/>
              </w:rPr>
            </w:pPr>
          </w:p>
        </w:tc>
      </w:tr>
      <w:tr w:rsidR="00F726BD" w:rsidRPr="00B53F3A" w14:paraId="3F38D352" w14:textId="77777777" w:rsidTr="00302CCF">
        <w:trPr>
          <w:trHeight w:val="39"/>
          <w:jc w:val="center"/>
        </w:trPr>
        <w:tc>
          <w:tcPr>
            <w:tcW w:w="3940" w:type="dxa"/>
            <w:gridSpan w:val="2"/>
            <w:vMerge/>
            <w:noWrap/>
            <w:vAlign w:val="center"/>
            <w:hideMark/>
          </w:tcPr>
          <w:p w14:paraId="6A8B43BA" w14:textId="77777777" w:rsidR="00F726BD" w:rsidRPr="00051D01" w:rsidRDefault="00F726BD" w:rsidP="00302CCF">
            <w:pPr>
              <w:spacing w:line="360" w:lineRule="auto"/>
              <w:jc w:val="both"/>
              <w:rPr>
                <w:rFonts w:ascii="Arial" w:hAnsi="Arial" w:cs="Arial"/>
                <w:b/>
                <w:sz w:val="20"/>
                <w:szCs w:val="20"/>
                <w:lang w:val="es-ES"/>
              </w:rPr>
            </w:pPr>
          </w:p>
        </w:tc>
        <w:tc>
          <w:tcPr>
            <w:tcW w:w="752" w:type="dxa"/>
            <w:noWrap/>
            <w:vAlign w:val="center"/>
            <w:hideMark/>
          </w:tcPr>
          <w:p w14:paraId="7BB22A7B"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No.</w:t>
            </w:r>
          </w:p>
        </w:tc>
        <w:tc>
          <w:tcPr>
            <w:tcW w:w="831" w:type="dxa"/>
            <w:noWrap/>
            <w:vAlign w:val="center"/>
            <w:hideMark/>
          </w:tcPr>
          <w:p w14:paraId="7D14B0CF"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w:t>
            </w:r>
          </w:p>
        </w:tc>
        <w:tc>
          <w:tcPr>
            <w:tcW w:w="828" w:type="dxa"/>
            <w:noWrap/>
            <w:vAlign w:val="center"/>
            <w:hideMark/>
          </w:tcPr>
          <w:p w14:paraId="1DCFE66B"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No.</w:t>
            </w:r>
          </w:p>
        </w:tc>
        <w:tc>
          <w:tcPr>
            <w:tcW w:w="831" w:type="dxa"/>
            <w:noWrap/>
            <w:vAlign w:val="center"/>
            <w:hideMark/>
          </w:tcPr>
          <w:p w14:paraId="4BC75C08"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w:t>
            </w:r>
          </w:p>
        </w:tc>
        <w:tc>
          <w:tcPr>
            <w:tcW w:w="767" w:type="dxa"/>
            <w:noWrap/>
            <w:vAlign w:val="center"/>
            <w:hideMark/>
          </w:tcPr>
          <w:p w14:paraId="3A226B7C"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No.</w:t>
            </w:r>
          </w:p>
        </w:tc>
        <w:tc>
          <w:tcPr>
            <w:tcW w:w="831" w:type="dxa"/>
            <w:noWrap/>
            <w:vAlign w:val="center"/>
            <w:hideMark/>
          </w:tcPr>
          <w:p w14:paraId="55823FF3"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w:t>
            </w:r>
          </w:p>
        </w:tc>
        <w:tc>
          <w:tcPr>
            <w:tcW w:w="880" w:type="dxa"/>
            <w:noWrap/>
            <w:vAlign w:val="center"/>
            <w:hideMark/>
          </w:tcPr>
          <w:p w14:paraId="00DC2732"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No.</w:t>
            </w:r>
          </w:p>
        </w:tc>
        <w:tc>
          <w:tcPr>
            <w:tcW w:w="788" w:type="dxa"/>
            <w:noWrap/>
            <w:vAlign w:val="center"/>
            <w:hideMark/>
          </w:tcPr>
          <w:p w14:paraId="18D85B72" w14:textId="77777777" w:rsidR="00F726BD" w:rsidRPr="00FB6367" w:rsidRDefault="00F726BD" w:rsidP="00302CCF">
            <w:pPr>
              <w:spacing w:line="360" w:lineRule="auto"/>
              <w:jc w:val="both"/>
              <w:rPr>
                <w:rFonts w:ascii="Arial" w:hAnsi="Arial" w:cs="Arial"/>
                <w:b/>
                <w:sz w:val="20"/>
                <w:szCs w:val="20"/>
                <w:lang w:val="es-ES"/>
              </w:rPr>
            </w:pPr>
            <w:r w:rsidRPr="00FB6367">
              <w:rPr>
                <w:rFonts w:ascii="Arial" w:hAnsi="Arial" w:cs="Arial"/>
                <w:b/>
                <w:sz w:val="20"/>
                <w:szCs w:val="20"/>
                <w:lang w:val="es-ES"/>
              </w:rPr>
              <w:t>%</w:t>
            </w:r>
          </w:p>
        </w:tc>
      </w:tr>
      <w:tr w:rsidR="00F726BD" w:rsidRPr="00B53F3A" w14:paraId="150C73E4" w14:textId="77777777" w:rsidTr="00302CCF">
        <w:trPr>
          <w:trHeight w:val="39"/>
          <w:jc w:val="center"/>
        </w:trPr>
        <w:tc>
          <w:tcPr>
            <w:tcW w:w="1452" w:type="dxa"/>
            <w:vMerge w:val="restart"/>
            <w:noWrap/>
            <w:vAlign w:val="center"/>
            <w:hideMark/>
          </w:tcPr>
          <w:p w14:paraId="020FCAE5"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 xml:space="preserve">Tipo </w:t>
            </w:r>
          </w:p>
          <w:p w14:paraId="32E763BF"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de TEA</w:t>
            </w:r>
          </w:p>
        </w:tc>
        <w:tc>
          <w:tcPr>
            <w:tcW w:w="2448" w:type="dxa"/>
            <w:noWrap/>
            <w:vAlign w:val="center"/>
            <w:hideMark/>
          </w:tcPr>
          <w:p w14:paraId="71EA64D6"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Congénito</w:t>
            </w:r>
          </w:p>
        </w:tc>
        <w:tc>
          <w:tcPr>
            <w:tcW w:w="752" w:type="dxa"/>
            <w:noWrap/>
            <w:hideMark/>
          </w:tcPr>
          <w:p w14:paraId="482B5D6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w:t>
            </w:r>
          </w:p>
        </w:tc>
        <w:tc>
          <w:tcPr>
            <w:tcW w:w="831" w:type="dxa"/>
            <w:noWrap/>
            <w:hideMark/>
          </w:tcPr>
          <w:p w14:paraId="42AB156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34,78</w:t>
            </w:r>
          </w:p>
        </w:tc>
        <w:tc>
          <w:tcPr>
            <w:tcW w:w="828" w:type="dxa"/>
            <w:noWrap/>
            <w:hideMark/>
          </w:tcPr>
          <w:p w14:paraId="3860FA38"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w:t>
            </w:r>
          </w:p>
        </w:tc>
        <w:tc>
          <w:tcPr>
            <w:tcW w:w="831" w:type="dxa"/>
            <w:noWrap/>
            <w:hideMark/>
          </w:tcPr>
          <w:p w14:paraId="7B6BFC19"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21,74</w:t>
            </w:r>
          </w:p>
        </w:tc>
        <w:tc>
          <w:tcPr>
            <w:tcW w:w="767" w:type="dxa"/>
            <w:noWrap/>
            <w:hideMark/>
          </w:tcPr>
          <w:p w14:paraId="78B34F6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3</w:t>
            </w:r>
          </w:p>
        </w:tc>
        <w:tc>
          <w:tcPr>
            <w:tcW w:w="831" w:type="dxa"/>
            <w:noWrap/>
            <w:hideMark/>
          </w:tcPr>
          <w:p w14:paraId="11FA1A3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13,04</w:t>
            </w:r>
          </w:p>
        </w:tc>
        <w:tc>
          <w:tcPr>
            <w:tcW w:w="880" w:type="dxa"/>
            <w:noWrap/>
            <w:hideMark/>
          </w:tcPr>
          <w:p w14:paraId="42CD0DFE"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16</w:t>
            </w:r>
          </w:p>
        </w:tc>
        <w:tc>
          <w:tcPr>
            <w:tcW w:w="788" w:type="dxa"/>
            <w:noWrap/>
            <w:hideMark/>
          </w:tcPr>
          <w:p w14:paraId="4F9EAAD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69,57</w:t>
            </w:r>
          </w:p>
        </w:tc>
      </w:tr>
      <w:tr w:rsidR="00F726BD" w:rsidRPr="00B53F3A" w14:paraId="146F7240" w14:textId="77777777" w:rsidTr="00302CCF">
        <w:trPr>
          <w:trHeight w:val="166"/>
          <w:jc w:val="center"/>
        </w:trPr>
        <w:tc>
          <w:tcPr>
            <w:tcW w:w="1452" w:type="dxa"/>
            <w:vMerge/>
            <w:noWrap/>
            <w:hideMark/>
          </w:tcPr>
          <w:p w14:paraId="19C6A262"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7450580C"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Regresivo</w:t>
            </w:r>
          </w:p>
        </w:tc>
        <w:tc>
          <w:tcPr>
            <w:tcW w:w="752" w:type="dxa"/>
            <w:noWrap/>
            <w:hideMark/>
          </w:tcPr>
          <w:p w14:paraId="494ECB6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w:t>
            </w:r>
          </w:p>
        </w:tc>
        <w:tc>
          <w:tcPr>
            <w:tcW w:w="831" w:type="dxa"/>
            <w:noWrap/>
            <w:hideMark/>
          </w:tcPr>
          <w:p w14:paraId="6EDD2E5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17,39</w:t>
            </w:r>
          </w:p>
        </w:tc>
        <w:tc>
          <w:tcPr>
            <w:tcW w:w="828" w:type="dxa"/>
            <w:noWrap/>
            <w:hideMark/>
          </w:tcPr>
          <w:p w14:paraId="364895B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831" w:type="dxa"/>
            <w:noWrap/>
            <w:hideMark/>
          </w:tcPr>
          <w:p w14:paraId="19A4E8C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c>
          <w:tcPr>
            <w:tcW w:w="767" w:type="dxa"/>
            <w:noWrap/>
            <w:hideMark/>
          </w:tcPr>
          <w:p w14:paraId="6683A6F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w:t>
            </w:r>
          </w:p>
        </w:tc>
        <w:tc>
          <w:tcPr>
            <w:tcW w:w="831" w:type="dxa"/>
            <w:noWrap/>
            <w:hideMark/>
          </w:tcPr>
          <w:p w14:paraId="63A9F95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8,70</w:t>
            </w:r>
          </w:p>
        </w:tc>
        <w:tc>
          <w:tcPr>
            <w:tcW w:w="880" w:type="dxa"/>
            <w:noWrap/>
            <w:hideMark/>
          </w:tcPr>
          <w:p w14:paraId="0ACEAE96"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7</w:t>
            </w:r>
          </w:p>
        </w:tc>
        <w:tc>
          <w:tcPr>
            <w:tcW w:w="788" w:type="dxa"/>
            <w:noWrap/>
            <w:hideMark/>
          </w:tcPr>
          <w:p w14:paraId="360C644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30,43</w:t>
            </w:r>
          </w:p>
        </w:tc>
      </w:tr>
      <w:tr w:rsidR="00F726BD" w:rsidRPr="00B53F3A" w14:paraId="7EF99083" w14:textId="77777777" w:rsidTr="00302CCF">
        <w:trPr>
          <w:trHeight w:val="166"/>
          <w:jc w:val="center"/>
        </w:trPr>
        <w:tc>
          <w:tcPr>
            <w:tcW w:w="3940" w:type="dxa"/>
            <w:gridSpan w:val="2"/>
            <w:noWrap/>
            <w:vAlign w:val="center"/>
          </w:tcPr>
          <w:p w14:paraId="127ECA29"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Total</w:t>
            </w:r>
          </w:p>
        </w:tc>
        <w:tc>
          <w:tcPr>
            <w:tcW w:w="752" w:type="dxa"/>
            <w:noWrap/>
            <w:hideMark/>
          </w:tcPr>
          <w:p w14:paraId="251E304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12</w:t>
            </w:r>
          </w:p>
        </w:tc>
        <w:tc>
          <w:tcPr>
            <w:tcW w:w="831" w:type="dxa"/>
            <w:noWrap/>
            <w:hideMark/>
          </w:tcPr>
          <w:p w14:paraId="122E11A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52,17</w:t>
            </w:r>
          </w:p>
        </w:tc>
        <w:tc>
          <w:tcPr>
            <w:tcW w:w="828" w:type="dxa"/>
            <w:noWrap/>
            <w:hideMark/>
          </w:tcPr>
          <w:p w14:paraId="0C67AD3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6</w:t>
            </w:r>
          </w:p>
        </w:tc>
        <w:tc>
          <w:tcPr>
            <w:tcW w:w="831" w:type="dxa"/>
            <w:noWrap/>
            <w:hideMark/>
          </w:tcPr>
          <w:p w14:paraId="006D4C16"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26,09</w:t>
            </w:r>
          </w:p>
        </w:tc>
        <w:tc>
          <w:tcPr>
            <w:tcW w:w="767" w:type="dxa"/>
            <w:noWrap/>
            <w:hideMark/>
          </w:tcPr>
          <w:p w14:paraId="7C0C9C70"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w:t>
            </w:r>
          </w:p>
        </w:tc>
        <w:tc>
          <w:tcPr>
            <w:tcW w:w="831" w:type="dxa"/>
            <w:noWrap/>
            <w:hideMark/>
          </w:tcPr>
          <w:p w14:paraId="0ADA7A9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21,74</w:t>
            </w:r>
          </w:p>
        </w:tc>
        <w:tc>
          <w:tcPr>
            <w:tcW w:w="880" w:type="dxa"/>
            <w:noWrap/>
            <w:hideMark/>
          </w:tcPr>
          <w:p w14:paraId="7A9DA248"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23</w:t>
            </w:r>
          </w:p>
        </w:tc>
        <w:tc>
          <w:tcPr>
            <w:tcW w:w="788" w:type="dxa"/>
            <w:noWrap/>
            <w:hideMark/>
          </w:tcPr>
          <w:p w14:paraId="0C67A38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100</w:t>
            </w:r>
          </w:p>
        </w:tc>
      </w:tr>
      <w:tr w:rsidR="00F726BD" w:rsidRPr="00B53F3A" w14:paraId="2BF803CE" w14:textId="77777777" w:rsidTr="00302CCF">
        <w:trPr>
          <w:trHeight w:val="166"/>
          <w:jc w:val="center"/>
        </w:trPr>
        <w:tc>
          <w:tcPr>
            <w:tcW w:w="1452" w:type="dxa"/>
            <w:vMerge w:val="restart"/>
            <w:noWrap/>
            <w:vAlign w:val="center"/>
            <w:hideMark/>
          </w:tcPr>
          <w:p w14:paraId="4729F850"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 xml:space="preserve">Grado </w:t>
            </w:r>
          </w:p>
          <w:p w14:paraId="3027DF51"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del TEA</w:t>
            </w:r>
          </w:p>
        </w:tc>
        <w:tc>
          <w:tcPr>
            <w:tcW w:w="2448" w:type="dxa"/>
            <w:noWrap/>
            <w:vAlign w:val="center"/>
            <w:hideMark/>
          </w:tcPr>
          <w:p w14:paraId="04AF007E"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Ligero o moderado</w:t>
            </w:r>
          </w:p>
        </w:tc>
        <w:tc>
          <w:tcPr>
            <w:tcW w:w="752" w:type="dxa"/>
            <w:noWrap/>
            <w:hideMark/>
          </w:tcPr>
          <w:p w14:paraId="48B2A1F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831" w:type="dxa"/>
            <w:noWrap/>
            <w:hideMark/>
          </w:tcPr>
          <w:p w14:paraId="07FD33F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c>
          <w:tcPr>
            <w:tcW w:w="828" w:type="dxa"/>
            <w:noWrap/>
            <w:hideMark/>
          </w:tcPr>
          <w:p w14:paraId="17BE4D8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w:t>
            </w:r>
          </w:p>
        </w:tc>
        <w:tc>
          <w:tcPr>
            <w:tcW w:w="831" w:type="dxa"/>
            <w:noWrap/>
            <w:hideMark/>
          </w:tcPr>
          <w:p w14:paraId="7AB1685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8,70</w:t>
            </w:r>
          </w:p>
        </w:tc>
        <w:tc>
          <w:tcPr>
            <w:tcW w:w="767" w:type="dxa"/>
            <w:noWrap/>
            <w:hideMark/>
          </w:tcPr>
          <w:p w14:paraId="02FBECAE"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15B38F6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80" w:type="dxa"/>
            <w:noWrap/>
            <w:hideMark/>
          </w:tcPr>
          <w:p w14:paraId="249215A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3</w:t>
            </w:r>
          </w:p>
        </w:tc>
        <w:tc>
          <w:tcPr>
            <w:tcW w:w="788" w:type="dxa"/>
            <w:noWrap/>
            <w:hideMark/>
          </w:tcPr>
          <w:p w14:paraId="1354817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13,04</w:t>
            </w:r>
          </w:p>
        </w:tc>
      </w:tr>
      <w:tr w:rsidR="00F726BD" w:rsidRPr="00B53F3A" w14:paraId="3A011D89" w14:textId="77777777" w:rsidTr="00302CCF">
        <w:trPr>
          <w:trHeight w:val="166"/>
          <w:jc w:val="center"/>
        </w:trPr>
        <w:tc>
          <w:tcPr>
            <w:tcW w:w="1452" w:type="dxa"/>
            <w:vMerge/>
            <w:noWrap/>
            <w:hideMark/>
          </w:tcPr>
          <w:p w14:paraId="64B6D18C"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5491CE49"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Profundo</w:t>
            </w:r>
          </w:p>
        </w:tc>
        <w:tc>
          <w:tcPr>
            <w:tcW w:w="752" w:type="dxa"/>
            <w:noWrap/>
            <w:hideMark/>
          </w:tcPr>
          <w:p w14:paraId="78A3ABF8"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11</w:t>
            </w:r>
          </w:p>
        </w:tc>
        <w:tc>
          <w:tcPr>
            <w:tcW w:w="831" w:type="dxa"/>
            <w:noWrap/>
            <w:hideMark/>
          </w:tcPr>
          <w:p w14:paraId="3A09470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47,83</w:t>
            </w:r>
          </w:p>
        </w:tc>
        <w:tc>
          <w:tcPr>
            <w:tcW w:w="828" w:type="dxa"/>
            <w:noWrap/>
            <w:hideMark/>
          </w:tcPr>
          <w:p w14:paraId="10F77E3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w:t>
            </w:r>
          </w:p>
        </w:tc>
        <w:tc>
          <w:tcPr>
            <w:tcW w:w="831" w:type="dxa"/>
            <w:noWrap/>
            <w:hideMark/>
          </w:tcPr>
          <w:p w14:paraId="01B2ACB3"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17,39</w:t>
            </w:r>
          </w:p>
        </w:tc>
        <w:tc>
          <w:tcPr>
            <w:tcW w:w="767" w:type="dxa"/>
            <w:noWrap/>
            <w:hideMark/>
          </w:tcPr>
          <w:p w14:paraId="3E980DE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w:t>
            </w:r>
          </w:p>
        </w:tc>
        <w:tc>
          <w:tcPr>
            <w:tcW w:w="831" w:type="dxa"/>
            <w:noWrap/>
            <w:hideMark/>
          </w:tcPr>
          <w:p w14:paraId="6A59CCE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21,74</w:t>
            </w:r>
          </w:p>
        </w:tc>
        <w:tc>
          <w:tcPr>
            <w:tcW w:w="880" w:type="dxa"/>
            <w:noWrap/>
            <w:hideMark/>
          </w:tcPr>
          <w:p w14:paraId="1215B78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20</w:t>
            </w:r>
          </w:p>
        </w:tc>
        <w:tc>
          <w:tcPr>
            <w:tcW w:w="788" w:type="dxa"/>
            <w:noWrap/>
            <w:hideMark/>
          </w:tcPr>
          <w:p w14:paraId="662F273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86,96</w:t>
            </w:r>
          </w:p>
        </w:tc>
      </w:tr>
      <w:tr w:rsidR="00F726BD" w:rsidRPr="00B53F3A" w14:paraId="266CAA0E" w14:textId="77777777" w:rsidTr="00302CCF">
        <w:trPr>
          <w:trHeight w:val="166"/>
          <w:jc w:val="center"/>
        </w:trPr>
        <w:tc>
          <w:tcPr>
            <w:tcW w:w="3940" w:type="dxa"/>
            <w:gridSpan w:val="2"/>
            <w:noWrap/>
            <w:vAlign w:val="center"/>
            <w:hideMark/>
          </w:tcPr>
          <w:p w14:paraId="57D6EA75"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Total</w:t>
            </w:r>
          </w:p>
        </w:tc>
        <w:tc>
          <w:tcPr>
            <w:tcW w:w="752" w:type="dxa"/>
            <w:noWrap/>
            <w:hideMark/>
          </w:tcPr>
          <w:p w14:paraId="6AED749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12</w:t>
            </w:r>
          </w:p>
        </w:tc>
        <w:tc>
          <w:tcPr>
            <w:tcW w:w="831" w:type="dxa"/>
            <w:noWrap/>
            <w:hideMark/>
          </w:tcPr>
          <w:p w14:paraId="329F199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52,17</w:t>
            </w:r>
          </w:p>
        </w:tc>
        <w:tc>
          <w:tcPr>
            <w:tcW w:w="828" w:type="dxa"/>
            <w:noWrap/>
            <w:hideMark/>
          </w:tcPr>
          <w:p w14:paraId="1CA5105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6</w:t>
            </w:r>
          </w:p>
        </w:tc>
        <w:tc>
          <w:tcPr>
            <w:tcW w:w="831" w:type="dxa"/>
            <w:noWrap/>
            <w:hideMark/>
          </w:tcPr>
          <w:p w14:paraId="036FCD3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26,09</w:t>
            </w:r>
          </w:p>
        </w:tc>
        <w:tc>
          <w:tcPr>
            <w:tcW w:w="767" w:type="dxa"/>
            <w:noWrap/>
            <w:hideMark/>
          </w:tcPr>
          <w:p w14:paraId="731F9B80"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w:t>
            </w:r>
          </w:p>
        </w:tc>
        <w:tc>
          <w:tcPr>
            <w:tcW w:w="831" w:type="dxa"/>
            <w:noWrap/>
            <w:hideMark/>
          </w:tcPr>
          <w:p w14:paraId="1E9D8160"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21,74</w:t>
            </w:r>
          </w:p>
        </w:tc>
        <w:tc>
          <w:tcPr>
            <w:tcW w:w="880" w:type="dxa"/>
            <w:noWrap/>
            <w:hideMark/>
          </w:tcPr>
          <w:p w14:paraId="1B790DB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23</w:t>
            </w:r>
          </w:p>
        </w:tc>
        <w:tc>
          <w:tcPr>
            <w:tcW w:w="788" w:type="dxa"/>
            <w:noWrap/>
            <w:hideMark/>
          </w:tcPr>
          <w:p w14:paraId="0E1067D9"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100</w:t>
            </w:r>
          </w:p>
        </w:tc>
      </w:tr>
      <w:tr w:rsidR="00F726BD" w:rsidRPr="00B53F3A" w14:paraId="24193242" w14:textId="77777777" w:rsidTr="00302CCF">
        <w:trPr>
          <w:trHeight w:val="166"/>
          <w:jc w:val="center"/>
        </w:trPr>
        <w:tc>
          <w:tcPr>
            <w:tcW w:w="1452" w:type="dxa"/>
            <w:vMerge w:val="restart"/>
            <w:noWrap/>
            <w:vAlign w:val="center"/>
            <w:hideMark/>
          </w:tcPr>
          <w:p w14:paraId="31C493BC"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 xml:space="preserve">Causa </w:t>
            </w:r>
          </w:p>
          <w:p w14:paraId="5D64530F"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del TEA</w:t>
            </w:r>
          </w:p>
        </w:tc>
        <w:tc>
          <w:tcPr>
            <w:tcW w:w="2448" w:type="dxa"/>
            <w:noWrap/>
            <w:vAlign w:val="center"/>
            <w:hideMark/>
          </w:tcPr>
          <w:p w14:paraId="6CD35664"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Síndrome de Rett</w:t>
            </w:r>
          </w:p>
        </w:tc>
        <w:tc>
          <w:tcPr>
            <w:tcW w:w="752" w:type="dxa"/>
            <w:noWrap/>
            <w:hideMark/>
          </w:tcPr>
          <w:p w14:paraId="02A62268"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w:t>
            </w:r>
          </w:p>
        </w:tc>
        <w:tc>
          <w:tcPr>
            <w:tcW w:w="831" w:type="dxa"/>
            <w:noWrap/>
            <w:hideMark/>
          </w:tcPr>
          <w:p w14:paraId="3A82AEC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8,7</w:t>
            </w:r>
          </w:p>
        </w:tc>
        <w:tc>
          <w:tcPr>
            <w:tcW w:w="828" w:type="dxa"/>
            <w:noWrap/>
            <w:hideMark/>
          </w:tcPr>
          <w:p w14:paraId="427898B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27883FD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767" w:type="dxa"/>
            <w:noWrap/>
            <w:hideMark/>
          </w:tcPr>
          <w:p w14:paraId="3106B36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w:t>
            </w:r>
          </w:p>
        </w:tc>
        <w:tc>
          <w:tcPr>
            <w:tcW w:w="831" w:type="dxa"/>
            <w:noWrap/>
            <w:hideMark/>
          </w:tcPr>
          <w:p w14:paraId="691DB0D6"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8,7</w:t>
            </w:r>
          </w:p>
        </w:tc>
        <w:tc>
          <w:tcPr>
            <w:tcW w:w="880" w:type="dxa"/>
            <w:noWrap/>
            <w:hideMark/>
          </w:tcPr>
          <w:p w14:paraId="3315FEF3"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w:t>
            </w:r>
          </w:p>
        </w:tc>
        <w:tc>
          <w:tcPr>
            <w:tcW w:w="788" w:type="dxa"/>
            <w:noWrap/>
            <w:hideMark/>
          </w:tcPr>
          <w:p w14:paraId="6DE277C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17,39</w:t>
            </w:r>
          </w:p>
        </w:tc>
      </w:tr>
      <w:tr w:rsidR="00F726BD" w:rsidRPr="00B53F3A" w14:paraId="19028252" w14:textId="77777777" w:rsidTr="00302CCF">
        <w:trPr>
          <w:trHeight w:val="166"/>
          <w:jc w:val="center"/>
        </w:trPr>
        <w:tc>
          <w:tcPr>
            <w:tcW w:w="1452" w:type="dxa"/>
            <w:vMerge/>
            <w:noWrap/>
            <w:hideMark/>
          </w:tcPr>
          <w:p w14:paraId="75A9CD4A"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0E357C62"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Síndrome de Down</w:t>
            </w:r>
          </w:p>
        </w:tc>
        <w:tc>
          <w:tcPr>
            <w:tcW w:w="752" w:type="dxa"/>
            <w:noWrap/>
            <w:hideMark/>
          </w:tcPr>
          <w:p w14:paraId="34F16FA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831" w:type="dxa"/>
            <w:noWrap/>
            <w:hideMark/>
          </w:tcPr>
          <w:p w14:paraId="2D5622E8"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c>
          <w:tcPr>
            <w:tcW w:w="828" w:type="dxa"/>
            <w:noWrap/>
            <w:hideMark/>
          </w:tcPr>
          <w:p w14:paraId="5C85D6B3"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158A889E"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767" w:type="dxa"/>
            <w:noWrap/>
            <w:hideMark/>
          </w:tcPr>
          <w:p w14:paraId="7EA7C4F9"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053C91C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80" w:type="dxa"/>
            <w:noWrap/>
            <w:hideMark/>
          </w:tcPr>
          <w:p w14:paraId="7FB1229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788" w:type="dxa"/>
            <w:noWrap/>
            <w:hideMark/>
          </w:tcPr>
          <w:p w14:paraId="49889D2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r>
      <w:tr w:rsidR="00F726BD" w:rsidRPr="00B53F3A" w14:paraId="6389D092" w14:textId="77777777" w:rsidTr="00302CCF">
        <w:trPr>
          <w:trHeight w:val="166"/>
          <w:jc w:val="center"/>
        </w:trPr>
        <w:tc>
          <w:tcPr>
            <w:tcW w:w="1452" w:type="dxa"/>
            <w:vMerge/>
            <w:noWrap/>
            <w:hideMark/>
          </w:tcPr>
          <w:p w14:paraId="104E3565"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2363209C"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Síndrome de West</w:t>
            </w:r>
          </w:p>
        </w:tc>
        <w:tc>
          <w:tcPr>
            <w:tcW w:w="752" w:type="dxa"/>
            <w:noWrap/>
            <w:hideMark/>
          </w:tcPr>
          <w:p w14:paraId="2CE6CE00"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831" w:type="dxa"/>
            <w:noWrap/>
            <w:hideMark/>
          </w:tcPr>
          <w:p w14:paraId="2D799AD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c>
          <w:tcPr>
            <w:tcW w:w="828" w:type="dxa"/>
            <w:noWrap/>
            <w:hideMark/>
          </w:tcPr>
          <w:p w14:paraId="2D36C0F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2896864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767" w:type="dxa"/>
            <w:noWrap/>
            <w:hideMark/>
          </w:tcPr>
          <w:p w14:paraId="31AAEA0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04E0CEE9"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80" w:type="dxa"/>
            <w:noWrap/>
            <w:hideMark/>
          </w:tcPr>
          <w:p w14:paraId="3F6E753F"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788" w:type="dxa"/>
            <w:noWrap/>
            <w:hideMark/>
          </w:tcPr>
          <w:p w14:paraId="0B94B8FF"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r>
      <w:tr w:rsidR="00F726BD" w:rsidRPr="00B53F3A" w14:paraId="08DEC6EE" w14:textId="77777777" w:rsidTr="00302CCF">
        <w:trPr>
          <w:trHeight w:val="166"/>
          <w:jc w:val="center"/>
        </w:trPr>
        <w:tc>
          <w:tcPr>
            <w:tcW w:w="1452" w:type="dxa"/>
            <w:vMerge/>
            <w:noWrap/>
            <w:hideMark/>
          </w:tcPr>
          <w:p w14:paraId="39136B3F"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3906338B"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Síndrome de Angelman</w:t>
            </w:r>
          </w:p>
        </w:tc>
        <w:tc>
          <w:tcPr>
            <w:tcW w:w="752" w:type="dxa"/>
            <w:noWrap/>
            <w:hideMark/>
          </w:tcPr>
          <w:p w14:paraId="3DF4254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5A47D19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28" w:type="dxa"/>
            <w:noWrap/>
            <w:hideMark/>
          </w:tcPr>
          <w:p w14:paraId="104066C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11B46AE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767" w:type="dxa"/>
            <w:noWrap/>
            <w:hideMark/>
          </w:tcPr>
          <w:p w14:paraId="51756AF1"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831" w:type="dxa"/>
            <w:noWrap/>
            <w:hideMark/>
          </w:tcPr>
          <w:p w14:paraId="20948FA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c>
          <w:tcPr>
            <w:tcW w:w="880" w:type="dxa"/>
            <w:noWrap/>
            <w:hideMark/>
          </w:tcPr>
          <w:p w14:paraId="7E577C96"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788" w:type="dxa"/>
            <w:noWrap/>
            <w:hideMark/>
          </w:tcPr>
          <w:p w14:paraId="7D5389E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r>
      <w:tr w:rsidR="00F726BD" w:rsidRPr="00B53F3A" w14:paraId="0061F771" w14:textId="77777777" w:rsidTr="00302CCF">
        <w:trPr>
          <w:trHeight w:val="166"/>
          <w:jc w:val="center"/>
        </w:trPr>
        <w:tc>
          <w:tcPr>
            <w:tcW w:w="1452" w:type="dxa"/>
            <w:vMerge/>
            <w:noWrap/>
            <w:hideMark/>
          </w:tcPr>
          <w:p w14:paraId="658241BF"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51211972"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LESNC-SOC</w:t>
            </w:r>
          </w:p>
        </w:tc>
        <w:tc>
          <w:tcPr>
            <w:tcW w:w="752" w:type="dxa"/>
            <w:noWrap/>
            <w:hideMark/>
          </w:tcPr>
          <w:p w14:paraId="7DDA1B2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3</w:t>
            </w:r>
          </w:p>
        </w:tc>
        <w:tc>
          <w:tcPr>
            <w:tcW w:w="831" w:type="dxa"/>
            <w:noWrap/>
            <w:hideMark/>
          </w:tcPr>
          <w:p w14:paraId="33519BB6"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13,04</w:t>
            </w:r>
          </w:p>
        </w:tc>
        <w:tc>
          <w:tcPr>
            <w:tcW w:w="828" w:type="dxa"/>
            <w:noWrap/>
            <w:hideMark/>
          </w:tcPr>
          <w:p w14:paraId="5CCF7373"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w:t>
            </w:r>
          </w:p>
        </w:tc>
        <w:tc>
          <w:tcPr>
            <w:tcW w:w="831" w:type="dxa"/>
            <w:noWrap/>
            <w:hideMark/>
          </w:tcPr>
          <w:p w14:paraId="1D8CF6E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8,7</w:t>
            </w:r>
          </w:p>
        </w:tc>
        <w:tc>
          <w:tcPr>
            <w:tcW w:w="767" w:type="dxa"/>
            <w:noWrap/>
            <w:hideMark/>
          </w:tcPr>
          <w:p w14:paraId="43E95DA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w:t>
            </w:r>
          </w:p>
        </w:tc>
        <w:tc>
          <w:tcPr>
            <w:tcW w:w="831" w:type="dxa"/>
            <w:noWrap/>
            <w:hideMark/>
          </w:tcPr>
          <w:p w14:paraId="6ABB9A8D"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8,7</w:t>
            </w:r>
          </w:p>
        </w:tc>
        <w:tc>
          <w:tcPr>
            <w:tcW w:w="880" w:type="dxa"/>
            <w:noWrap/>
            <w:hideMark/>
          </w:tcPr>
          <w:p w14:paraId="3A24F1DC"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7</w:t>
            </w:r>
          </w:p>
        </w:tc>
        <w:tc>
          <w:tcPr>
            <w:tcW w:w="788" w:type="dxa"/>
            <w:noWrap/>
            <w:hideMark/>
          </w:tcPr>
          <w:p w14:paraId="365F483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30,43</w:t>
            </w:r>
          </w:p>
        </w:tc>
      </w:tr>
      <w:tr w:rsidR="00F726BD" w:rsidRPr="00B53F3A" w14:paraId="0851ED4C" w14:textId="77777777" w:rsidTr="00302CCF">
        <w:trPr>
          <w:trHeight w:val="166"/>
          <w:jc w:val="center"/>
        </w:trPr>
        <w:tc>
          <w:tcPr>
            <w:tcW w:w="1452" w:type="dxa"/>
            <w:vMerge/>
            <w:noWrap/>
            <w:hideMark/>
          </w:tcPr>
          <w:p w14:paraId="495E69E4"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46112061"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 xml:space="preserve">Síndrome de Lennox-Gastaut </w:t>
            </w:r>
          </w:p>
        </w:tc>
        <w:tc>
          <w:tcPr>
            <w:tcW w:w="752" w:type="dxa"/>
            <w:noWrap/>
            <w:hideMark/>
          </w:tcPr>
          <w:p w14:paraId="1A13F538"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831" w:type="dxa"/>
            <w:noWrap/>
            <w:hideMark/>
          </w:tcPr>
          <w:p w14:paraId="0AB31FDE"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c>
          <w:tcPr>
            <w:tcW w:w="828" w:type="dxa"/>
            <w:noWrap/>
            <w:hideMark/>
          </w:tcPr>
          <w:p w14:paraId="14DA35CF"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124EF57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767" w:type="dxa"/>
            <w:noWrap/>
            <w:hideMark/>
          </w:tcPr>
          <w:p w14:paraId="7A2C3AC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0DD724D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80" w:type="dxa"/>
            <w:noWrap/>
            <w:hideMark/>
          </w:tcPr>
          <w:p w14:paraId="11ACB8B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w:t>
            </w:r>
          </w:p>
        </w:tc>
        <w:tc>
          <w:tcPr>
            <w:tcW w:w="788" w:type="dxa"/>
            <w:noWrap/>
            <w:hideMark/>
          </w:tcPr>
          <w:p w14:paraId="2A36832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4,35</w:t>
            </w:r>
          </w:p>
        </w:tc>
      </w:tr>
      <w:tr w:rsidR="00F726BD" w:rsidRPr="00B53F3A" w14:paraId="3CE071D3" w14:textId="77777777" w:rsidTr="00302CCF">
        <w:trPr>
          <w:trHeight w:val="166"/>
          <w:jc w:val="center"/>
        </w:trPr>
        <w:tc>
          <w:tcPr>
            <w:tcW w:w="1452" w:type="dxa"/>
            <w:vMerge/>
            <w:noWrap/>
            <w:hideMark/>
          </w:tcPr>
          <w:p w14:paraId="4A0941B1" w14:textId="77777777" w:rsidR="00F726BD" w:rsidRPr="00051D01" w:rsidRDefault="00F726BD" w:rsidP="00302CCF">
            <w:pPr>
              <w:spacing w:line="360" w:lineRule="auto"/>
              <w:jc w:val="both"/>
              <w:rPr>
                <w:rFonts w:ascii="Arial" w:hAnsi="Arial" w:cs="Arial"/>
                <w:sz w:val="20"/>
                <w:szCs w:val="20"/>
                <w:lang w:val="es-ES"/>
              </w:rPr>
            </w:pPr>
          </w:p>
        </w:tc>
        <w:tc>
          <w:tcPr>
            <w:tcW w:w="2448" w:type="dxa"/>
            <w:noWrap/>
            <w:vAlign w:val="center"/>
            <w:hideMark/>
          </w:tcPr>
          <w:p w14:paraId="602A0F45"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Idiopático</w:t>
            </w:r>
          </w:p>
        </w:tc>
        <w:tc>
          <w:tcPr>
            <w:tcW w:w="752" w:type="dxa"/>
            <w:noWrap/>
            <w:hideMark/>
          </w:tcPr>
          <w:p w14:paraId="4898C07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w:t>
            </w:r>
          </w:p>
        </w:tc>
        <w:tc>
          <w:tcPr>
            <w:tcW w:w="831" w:type="dxa"/>
            <w:noWrap/>
            <w:hideMark/>
          </w:tcPr>
          <w:p w14:paraId="271BFBAF"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17,39</w:t>
            </w:r>
          </w:p>
        </w:tc>
        <w:tc>
          <w:tcPr>
            <w:tcW w:w="828" w:type="dxa"/>
            <w:noWrap/>
            <w:hideMark/>
          </w:tcPr>
          <w:p w14:paraId="77931E5F"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4</w:t>
            </w:r>
          </w:p>
        </w:tc>
        <w:tc>
          <w:tcPr>
            <w:tcW w:w="831" w:type="dxa"/>
            <w:noWrap/>
            <w:hideMark/>
          </w:tcPr>
          <w:p w14:paraId="62010C6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17,39</w:t>
            </w:r>
          </w:p>
        </w:tc>
        <w:tc>
          <w:tcPr>
            <w:tcW w:w="767" w:type="dxa"/>
            <w:noWrap/>
            <w:hideMark/>
          </w:tcPr>
          <w:p w14:paraId="5D44FEC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31" w:type="dxa"/>
            <w:noWrap/>
            <w:hideMark/>
          </w:tcPr>
          <w:p w14:paraId="3AEE8603"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0</w:t>
            </w:r>
          </w:p>
        </w:tc>
        <w:tc>
          <w:tcPr>
            <w:tcW w:w="880" w:type="dxa"/>
            <w:noWrap/>
            <w:hideMark/>
          </w:tcPr>
          <w:p w14:paraId="6B97EEA3"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8</w:t>
            </w:r>
          </w:p>
        </w:tc>
        <w:tc>
          <w:tcPr>
            <w:tcW w:w="788" w:type="dxa"/>
            <w:noWrap/>
            <w:hideMark/>
          </w:tcPr>
          <w:p w14:paraId="3EAAE358"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34,78</w:t>
            </w:r>
          </w:p>
        </w:tc>
      </w:tr>
      <w:tr w:rsidR="00F726BD" w:rsidRPr="00B53F3A" w14:paraId="42C713A9" w14:textId="77777777" w:rsidTr="00302CCF">
        <w:trPr>
          <w:trHeight w:val="166"/>
          <w:jc w:val="center"/>
        </w:trPr>
        <w:tc>
          <w:tcPr>
            <w:tcW w:w="3940" w:type="dxa"/>
            <w:gridSpan w:val="2"/>
            <w:noWrap/>
            <w:vAlign w:val="center"/>
            <w:hideMark/>
          </w:tcPr>
          <w:p w14:paraId="097B70BD" w14:textId="77777777" w:rsidR="00F726BD" w:rsidRPr="00051D01" w:rsidRDefault="00F726BD" w:rsidP="00302CCF">
            <w:pPr>
              <w:spacing w:line="360" w:lineRule="auto"/>
              <w:jc w:val="both"/>
              <w:rPr>
                <w:rFonts w:ascii="Arial" w:hAnsi="Arial" w:cs="Arial"/>
                <w:sz w:val="20"/>
                <w:szCs w:val="20"/>
                <w:lang w:val="es-ES"/>
              </w:rPr>
            </w:pPr>
            <w:r w:rsidRPr="00051D01">
              <w:rPr>
                <w:rFonts w:ascii="Arial" w:hAnsi="Arial" w:cs="Arial"/>
                <w:sz w:val="20"/>
                <w:szCs w:val="20"/>
                <w:lang w:val="es-ES"/>
              </w:rPr>
              <w:t>Total</w:t>
            </w:r>
          </w:p>
        </w:tc>
        <w:tc>
          <w:tcPr>
            <w:tcW w:w="752" w:type="dxa"/>
            <w:noWrap/>
            <w:hideMark/>
          </w:tcPr>
          <w:p w14:paraId="5FA0C844"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12</w:t>
            </w:r>
          </w:p>
        </w:tc>
        <w:tc>
          <w:tcPr>
            <w:tcW w:w="831" w:type="dxa"/>
            <w:noWrap/>
            <w:hideMark/>
          </w:tcPr>
          <w:p w14:paraId="362FCF17"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52,17</w:t>
            </w:r>
          </w:p>
        </w:tc>
        <w:tc>
          <w:tcPr>
            <w:tcW w:w="828" w:type="dxa"/>
            <w:noWrap/>
            <w:hideMark/>
          </w:tcPr>
          <w:p w14:paraId="63287EE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6</w:t>
            </w:r>
          </w:p>
        </w:tc>
        <w:tc>
          <w:tcPr>
            <w:tcW w:w="831" w:type="dxa"/>
            <w:noWrap/>
            <w:hideMark/>
          </w:tcPr>
          <w:p w14:paraId="2398F35B"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26,09</w:t>
            </w:r>
          </w:p>
        </w:tc>
        <w:tc>
          <w:tcPr>
            <w:tcW w:w="767" w:type="dxa"/>
            <w:noWrap/>
            <w:hideMark/>
          </w:tcPr>
          <w:p w14:paraId="3DBCAD92"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5</w:t>
            </w:r>
          </w:p>
        </w:tc>
        <w:tc>
          <w:tcPr>
            <w:tcW w:w="831" w:type="dxa"/>
            <w:noWrap/>
            <w:hideMark/>
          </w:tcPr>
          <w:p w14:paraId="0A5B86C5"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21,74</w:t>
            </w:r>
          </w:p>
        </w:tc>
        <w:tc>
          <w:tcPr>
            <w:tcW w:w="880" w:type="dxa"/>
            <w:noWrap/>
            <w:hideMark/>
          </w:tcPr>
          <w:p w14:paraId="744DE70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23</w:t>
            </w:r>
          </w:p>
        </w:tc>
        <w:tc>
          <w:tcPr>
            <w:tcW w:w="788" w:type="dxa"/>
            <w:noWrap/>
            <w:hideMark/>
          </w:tcPr>
          <w:p w14:paraId="6BA562AA" w14:textId="77777777" w:rsidR="00F726BD" w:rsidRPr="00FB6367" w:rsidRDefault="00F726BD" w:rsidP="00302CCF">
            <w:pPr>
              <w:spacing w:line="360" w:lineRule="auto"/>
              <w:jc w:val="both"/>
              <w:rPr>
                <w:rFonts w:ascii="Arial" w:hAnsi="Arial" w:cs="Arial"/>
                <w:sz w:val="20"/>
                <w:szCs w:val="20"/>
                <w:lang w:val="es-ES"/>
              </w:rPr>
            </w:pPr>
            <w:r w:rsidRPr="00FB6367">
              <w:rPr>
                <w:rFonts w:ascii="Arial" w:hAnsi="Arial" w:cs="Arial"/>
                <w:sz w:val="20"/>
                <w:szCs w:val="20"/>
                <w:lang w:val="es-ES"/>
              </w:rPr>
              <w:t>100</w:t>
            </w:r>
          </w:p>
        </w:tc>
      </w:tr>
    </w:tbl>
    <w:p w14:paraId="6A4A16A1" w14:textId="77777777" w:rsidR="00F726BD" w:rsidRPr="00B53F3A" w:rsidRDefault="00F726BD" w:rsidP="00F726BD">
      <w:pPr>
        <w:spacing w:after="0" w:line="360" w:lineRule="auto"/>
        <w:jc w:val="both"/>
        <w:rPr>
          <w:rFonts w:ascii="Arial" w:hAnsi="Arial" w:cs="Arial"/>
          <w:sz w:val="24"/>
          <w:szCs w:val="24"/>
          <w:lang w:val="es-ES"/>
        </w:rPr>
      </w:pPr>
    </w:p>
    <w:p w14:paraId="087FF87D" w14:textId="0C074CAB" w:rsidR="00F726BD"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El síndrome de West fue la única causa que no tuvo representación femenina y solo se presentó en un paciente. Por otra parte, los síndromes de Lennox-Gastaut (n = 3), Down (n = 1) y Rett (n = 4) solo se presentaron en pacientes femeninas. El origen idiopático fue el más frecuente (n = 9), fundamentalmente en el sexo masculino (n = 5) (Fig. 1).</w:t>
      </w:r>
    </w:p>
    <w:p w14:paraId="0F14FBD0" w14:textId="77777777" w:rsidR="00051D01" w:rsidRPr="00B53F3A" w:rsidRDefault="00051D01" w:rsidP="00F726BD">
      <w:pPr>
        <w:spacing w:after="0" w:line="360" w:lineRule="auto"/>
        <w:jc w:val="both"/>
        <w:rPr>
          <w:rFonts w:ascii="Arial" w:hAnsi="Arial" w:cs="Arial"/>
          <w:sz w:val="24"/>
          <w:szCs w:val="24"/>
          <w:lang w:val="es-ES"/>
        </w:rPr>
      </w:pPr>
    </w:p>
    <w:p w14:paraId="306C8743" w14:textId="300610D8" w:rsidR="00F726BD" w:rsidRPr="00B53F3A" w:rsidRDefault="001A410A" w:rsidP="00F726BD">
      <w:pPr>
        <w:spacing w:after="0" w:line="360" w:lineRule="auto"/>
        <w:jc w:val="both"/>
        <w:rPr>
          <w:rFonts w:ascii="Arial" w:hAnsi="Arial" w:cs="Arial"/>
          <w:sz w:val="24"/>
          <w:szCs w:val="24"/>
          <w:lang w:val="es-ES"/>
        </w:rPr>
      </w:pPr>
      <w:r w:rsidRPr="00247955">
        <w:rPr>
          <w:rFonts w:ascii="Verdana" w:hAnsi="Verdana" w:cs="Arial"/>
          <w:noProof/>
          <w:sz w:val="20"/>
          <w:szCs w:val="20"/>
          <w:lang w:val="es-ES" w:eastAsia="es-ES"/>
        </w:rPr>
        <w:lastRenderedPageBreak/>
        <w:drawing>
          <wp:inline distT="0" distB="0" distL="0" distR="0" wp14:anchorId="73C0E982" wp14:editId="4ACB2586">
            <wp:extent cx="5872480" cy="3088640"/>
            <wp:effectExtent l="0" t="0" r="13970" b="1651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8DE37D" w14:textId="3065A7E3" w:rsidR="00F726BD" w:rsidRDefault="00F726BD" w:rsidP="00F726BD">
      <w:pPr>
        <w:spacing w:after="0" w:line="360" w:lineRule="auto"/>
        <w:jc w:val="both"/>
        <w:rPr>
          <w:rFonts w:ascii="Arial" w:hAnsi="Arial" w:cs="Arial"/>
          <w:sz w:val="24"/>
          <w:szCs w:val="24"/>
          <w:lang w:val="es-ES"/>
        </w:rPr>
      </w:pPr>
      <w:r w:rsidRPr="00B53F3A">
        <w:rPr>
          <w:rFonts w:ascii="Arial" w:hAnsi="Arial" w:cs="Arial"/>
          <w:b/>
          <w:sz w:val="24"/>
          <w:szCs w:val="24"/>
          <w:lang w:val="es-ES"/>
        </w:rPr>
        <w:t>Fig. 1</w:t>
      </w:r>
      <w:r w:rsidRPr="00B53F3A">
        <w:rPr>
          <w:rFonts w:ascii="Arial" w:hAnsi="Arial" w:cs="Arial"/>
          <w:sz w:val="24"/>
          <w:szCs w:val="24"/>
          <w:lang w:val="es-ES"/>
        </w:rPr>
        <w:t xml:space="preserve"> – Relación entre el sexo y la causa del TEA.</w:t>
      </w:r>
    </w:p>
    <w:p w14:paraId="46E6723A" w14:textId="77777777" w:rsidR="009D7BCE" w:rsidRPr="00B53F3A" w:rsidRDefault="009D7BCE" w:rsidP="00F726BD">
      <w:pPr>
        <w:spacing w:after="0" w:line="360" w:lineRule="auto"/>
        <w:jc w:val="both"/>
        <w:rPr>
          <w:rFonts w:ascii="Arial" w:hAnsi="Arial" w:cs="Arial"/>
          <w:sz w:val="24"/>
          <w:szCs w:val="24"/>
          <w:lang w:val="es-ES"/>
        </w:rPr>
      </w:pPr>
    </w:p>
    <w:p w14:paraId="7343C70B" w14:textId="5A71D639" w:rsidR="00F726BD"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En más de la mitad de la población (n = 13; 56,5 %), la primera crisis epiléptica antecedió en el tiempo al diagnóstico del TEA (Fig. 2).</w:t>
      </w:r>
    </w:p>
    <w:p w14:paraId="4DA484CF" w14:textId="2304DA41" w:rsidR="009D7BCE" w:rsidRDefault="001F267C" w:rsidP="00F44D53">
      <w:pPr>
        <w:spacing w:after="0" w:line="360" w:lineRule="auto"/>
        <w:jc w:val="center"/>
        <w:rPr>
          <w:rFonts w:ascii="Arial" w:hAnsi="Arial" w:cs="Arial"/>
          <w:b/>
          <w:sz w:val="24"/>
          <w:szCs w:val="24"/>
          <w:lang w:val="es-ES"/>
        </w:rPr>
      </w:pPr>
      <w:r w:rsidRPr="00247955">
        <w:rPr>
          <w:rFonts w:ascii="Verdana" w:hAnsi="Verdana" w:cs="Arial"/>
          <w:b/>
          <w:noProof/>
          <w:sz w:val="20"/>
          <w:szCs w:val="20"/>
          <w:lang w:val="es-ES" w:eastAsia="es-ES"/>
        </w:rPr>
        <w:drawing>
          <wp:inline distT="0" distB="0" distL="0" distR="0" wp14:anchorId="0C35C27D" wp14:editId="0F585744">
            <wp:extent cx="5905500" cy="2072640"/>
            <wp:effectExtent l="0" t="0" r="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2CD7B1" w14:textId="0711B6F5"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b/>
          <w:sz w:val="24"/>
          <w:szCs w:val="24"/>
          <w:lang w:val="es-ES"/>
        </w:rPr>
        <w:t xml:space="preserve">Fig. 2 </w:t>
      </w:r>
      <w:r w:rsidRPr="00B53F3A">
        <w:rPr>
          <w:rFonts w:ascii="Arial" w:hAnsi="Arial" w:cs="Arial"/>
          <w:sz w:val="24"/>
          <w:szCs w:val="24"/>
          <w:lang w:val="es-ES"/>
        </w:rPr>
        <w:t>–</w:t>
      </w:r>
      <w:r w:rsidRPr="00B53F3A">
        <w:rPr>
          <w:rFonts w:ascii="Arial" w:hAnsi="Arial" w:cs="Arial"/>
          <w:b/>
          <w:sz w:val="24"/>
          <w:szCs w:val="24"/>
          <w:lang w:val="es-ES"/>
        </w:rPr>
        <w:t xml:space="preserve"> </w:t>
      </w:r>
      <w:r w:rsidRPr="00B53F3A">
        <w:rPr>
          <w:rFonts w:ascii="Arial" w:hAnsi="Arial" w:cs="Arial"/>
          <w:sz w:val="24"/>
          <w:szCs w:val="24"/>
          <w:lang w:val="es-ES"/>
        </w:rPr>
        <w:t>Relación temporal entre el diagnóstico del TEA y la primera crisis epiléptica.</w:t>
      </w:r>
    </w:p>
    <w:p w14:paraId="735B652F" w14:textId="628A51E8" w:rsidR="00F726BD" w:rsidRPr="00B53F3A" w:rsidRDefault="00F726BD" w:rsidP="00F726BD">
      <w:pPr>
        <w:spacing w:after="0" w:line="360" w:lineRule="auto"/>
        <w:jc w:val="both"/>
        <w:rPr>
          <w:rFonts w:ascii="Arial" w:hAnsi="Arial" w:cs="Arial"/>
          <w:b/>
          <w:sz w:val="24"/>
          <w:szCs w:val="24"/>
          <w:lang w:val="es-ES"/>
        </w:rPr>
      </w:pPr>
    </w:p>
    <w:p w14:paraId="4B3F3DDD" w14:textId="3B87CEB1" w:rsidR="00F726BD" w:rsidRPr="00B53F3A" w:rsidRDefault="00051D01" w:rsidP="00F726BD">
      <w:pPr>
        <w:spacing w:after="0" w:line="360" w:lineRule="auto"/>
        <w:jc w:val="both"/>
        <w:rPr>
          <w:rFonts w:ascii="Arial" w:hAnsi="Arial" w:cs="Arial"/>
          <w:b/>
          <w:sz w:val="24"/>
          <w:szCs w:val="24"/>
          <w:lang w:val="es-ES"/>
        </w:rPr>
      </w:pPr>
      <w:r w:rsidRPr="00B53F3A">
        <w:rPr>
          <w:rFonts w:ascii="Arial" w:hAnsi="Arial" w:cs="Arial"/>
          <w:b/>
          <w:sz w:val="24"/>
          <w:szCs w:val="24"/>
          <w:lang w:val="es-ES"/>
        </w:rPr>
        <w:t>DISCUSIÓN</w:t>
      </w:r>
    </w:p>
    <w:p w14:paraId="54352206"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Los resultados en torno al sexo de los pacientes coinciden con los estudios de otros investigadores</w:t>
      </w:r>
      <w:r w:rsidRPr="00B53F3A">
        <w:rPr>
          <w:rFonts w:ascii="Arial" w:hAnsi="Arial" w:cs="Arial"/>
          <w:sz w:val="24"/>
          <w:szCs w:val="24"/>
          <w:vertAlign w:val="superscript"/>
          <w:lang w:val="es-ES"/>
        </w:rPr>
        <w:t>(20,21)</w:t>
      </w:r>
      <w:r w:rsidRPr="00B53F3A">
        <w:rPr>
          <w:rFonts w:ascii="Arial" w:hAnsi="Arial" w:cs="Arial"/>
          <w:sz w:val="24"/>
          <w:szCs w:val="24"/>
          <w:lang w:val="es-ES"/>
        </w:rPr>
        <w:t xml:space="preserve"> en los que también se evidenció una superioridad del sexo femenino con coexistencia de epilepsia y TEA; sin embargo, estudios </w:t>
      </w:r>
      <w:r w:rsidRPr="00B53F3A">
        <w:rPr>
          <w:rFonts w:ascii="Arial" w:hAnsi="Arial" w:cs="Arial"/>
          <w:sz w:val="24"/>
          <w:szCs w:val="24"/>
          <w:lang w:val="es-419"/>
        </w:rPr>
        <w:t>realizados en otros países</w:t>
      </w:r>
      <w:r w:rsidRPr="00B53F3A">
        <w:rPr>
          <w:rFonts w:ascii="Arial" w:hAnsi="Arial" w:cs="Arial"/>
          <w:sz w:val="24"/>
          <w:szCs w:val="24"/>
          <w:lang w:val="es-ES"/>
        </w:rPr>
        <w:t xml:space="preserve"> documentan una mayor incidencia en el sexo masculino para ambas afecciones por separado.</w:t>
      </w:r>
      <w:r w:rsidRPr="00B53F3A">
        <w:rPr>
          <w:rFonts w:ascii="Arial" w:hAnsi="Arial" w:cs="Arial"/>
          <w:sz w:val="24"/>
          <w:szCs w:val="24"/>
          <w:vertAlign w:val="superscript"/>
          <w:lang w:val="es-ES"/>
        </w:rPr>
        <w:t>(10,22,23)</w:t>
      </w:r>
    </w:p>
    <w:p w14:paraId="156718BF"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lastRenderedPageBreak/>
        <w:t>En este estudio, la edad de la primera consulta tuvo un rango de 6,5 años. Otros autores encuentran para esta misma variable un rango de 17 años.</w:t>
      </w:r>
      <w:r w:rsidRPr="00B53F3A">
        <w:rPr>
          <w:rFonts w:ascii="Arial" w:hAnsi="Arial" w:cs="Arial"/>
          <w:sz w:val="24"/>
          <w:szCs w:val="24"/>
          <w:vertAlign w:val="superscript"/>
          <w:lang w:val="es-ES"/>
        </w:rPr>
        <w:t>(24)</w:t>
      </w:r>
      <w:r w:rsidRPr="00B53F3A">
        <w:rPr>
          <w:rFonts w:ascii="Arial" w:hAnsi="Arial" w:cs="Arial"/>
          <w:sz w:val="24"/>
          <w:szCs w:val="24"/>
          <w:lang w:val="es-ES"/>
        </w:rPr>
        <w:t xml:space="preserve"> El resultado en esta investigación,</w:t>
      </w:r>
      <w:r w:rsidRPr="00B53F3A">
        <w:rPr>
          <w:rFonts w:ascii="Arial" w:hAnsi="Arial" w:cs="Arial"/>
          <w:sz w:val="24"/>
          <w:szCs w:val="24"/>
          <w:vertAlign w:val="superscript"/>
          <w:lang w:val="es-ES"/>
        </w:rPr>
        <w:t xml:space="preserve"> </w:t>
      </w:r>
      <w:r w:rsidRPr="00B53F3A">
        <w:rPr>
          <w:rFonts w:ascii="Arial" w:hAnsi="Arial" w:cs="Arial"/>
          <w:sz w:val="24"/>
          <w:szCs w:val="24"/>
          <w:lang w:val="es-ES"/>
        </w:rPr>
        <w:t>considerablemente menor, es comprensible si se tiene en cuenta que ninguno de los sujetos que se incluyeron en esta investigación rebasaron los 9 años de edad.</w:t>
      </w:r>
    </w:p>
    <w:p w14:paraId="2F2D25B0"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iCs/>
          <w:sz w:val="24"/>
          <w:szCs w:val="24"/>
          <w:lang w:val="es-ES"/>
        </w:rPr>
        <w:t>Algunos investigadores</w:t>
      </w:r>
      <w:r w:rsidRPr="00B53F3A">
        <w:rPr>
          <w:rFonts w:ascii="Arial" w:hAnsi="Arial" w:cs="Arial"/>
          <w:sz w:val="24"/>
          <w:szCs w:val="24"/>
          <w:vertAlign w:val="superscript"/>
          <w:lang w:val="es-ES"/>
        </w:rPr>
        <w:t>(25)</w:t>
      </w:r>
      <w:r w:rsidRPr="00B53F3A">
        <w:rPr>
          <w:rFonts w:ascii="Arial" w:hAnsi="Arial" w:cs="Arial"/>
          <w:sz w:val="24"/>
          <w:szCs w:val="24"/>
          <w:lang w:val="es-ES"/>
        </w:rPr>
        <w:t xml:space="preserve"> en su estudio observan que 42 % de los pacientes con TEA y epilepsia experimentaron la primera crisis epiléptica entre los 10 y 19 años,</w:t>
      </w:r>
      <w:r w:rsidRPr="00B53F3A">
        <w:rPr>
          <w:rFonts w:ascii="Arial" w:hAnsi="Arial" w:cs="Arial"/>
          <w:sz w:val="24"/>
          <w:szCs w:val="24"/>
          <w:lang w:val="es-419"/>
        </w:rPr>
        <w:t xml:space="preserve"> rango de edad al que no perteneció ningún sujeto de este estudio.</w:t>
      </w:r>
    </w:p>
    <w:p w14:paraId="720BA3A8"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El predominio notable (78,3 %) de los pacientes nacidos con edad gestacional entre 38 y 42 semanas posee semejanza con el obtenido en un estudio poblacional,</w:t>
      </w:r>
      <w:r w:rsidRPr="00B53F3A">
        <w:rPr>
          <w:rFonts w:ascii="Arial" w:hAnsi="Arial" w:cs="Arial"/>
          <w:sz w:val="24"/>
          <w:szCs w:val="24"/>
          <w:vertAlign w:val="superscript"/>
          <w:lang w:val="es-ES"/>
        </w:rPr>
        <w:t>(26)</w:t>
      </w:r>
      <w:r w:rsidRPr="00B53F3A">
        <w:rPr>
          <w:rFonts w:ascii="Arial" w:hAnsi="Arial" w:cs="Arial"/>
          <w:sz w:val="24"/>
          <w:szCs w:val="24"/>
          <w:lang w:val="es-ES"/>
        </w:rPr>
        <w:t xml:space="preserve"> en el cual estos pacientes representaron 86,1 %. Pudiera esto sugerir que la comorbilidad entre TEA y epilepsia no está vinculada al nacimiento pre o postérmino del paciente. </w:t>
      </w:r>
    </w:p>
    <w:p w14:paraId="43925240"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iCs/>
          <w:sz w:val="24"/>
          <w:szCs w:val="24"/>
          <w:lang w:val="es-ES"/>
        </w:rPr>
        <w:t xml:space="preserve">Los </w:t>
      </w:r>
      <w:r w:rsidRPr="00B53F3A">
        <w:rPr>
          <w:rFonts w:ascii="Arial" w:hAnsi="Arial" w:cs="Arial"/>
          <w:sz w:val="24"/>
          <w:szCs w:val="24"/>
          <w:lang w:val="es-ES"/>
        </w:rPr>
        <w:t>resultados obtenidos en la presente investigación relacionados con el trastorno de déficit intelectual y TEA congénito asociado es similar a otra</w:t>
      </w:r>
      <w:r w:rsidRPr="00B53F3A">
        <w:rPr>
          <w:rFonts w:ascii="Arial" w:hAnsi="Arial" w:cs="Arial"/>
          <w:sz w:val="24"/>
          <w:szCs w:val="24"/>
          <w:vertAlign w:val="superscript"/>
          <w:lang w:val="es-ES"/>
        </w:rPr>
        <w:t xml:space="preserve">(27) </w:t>
      </w:r>
      <w:r w:rsidRPr="00B53F3A">
        <w:rPr>
          <w:rFonts w:ascii="Arial" w:hAnsi="Arial" w:cs="Arial"/>
          <w:sz w:val="24"/>
          <w:szCs w:val="24"/>
          <w:lang w:val="es-ES"/>
        </w:rPr>
        <w:t xml:space="preserve">que plantea que 40 % de sus pacientes exhibían este trastorno. </w:t>
      </w:r>
    </w:p>
    <w:p w14:paraId="5F6A4295"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El 20 % de las madres, en un estudio en pacientes con TEA controlados en un hospital de niños,</w:t>
      </w:r>
      <w:r w:rsidRPr="00B53F3A">
        <w:rPr>
          <w:rFonts w:ascii="Arial" w:hAnsi="Arial" w:cs="Arial"/>
          <w:sz w:val="24"/>
          <w:szCs w:val="24"/>
          <w:vertAlign w:val="superscript"/>
          <w:lang w:val="es-ES"/>
        </w:rPr>
        <w:t>(28)</w:t>
      </w:r>
      <w:r w:rsidRPr="00B53F3A">
        <w:rPr>
          <w:rFonts w:ascii="Arial" w:hAnsi="Arial" w:cs="Arial"/>
          <w:sz w:val="24"/>
          <w:szCs w:val="24"/>
          <w:lang w:val="es-ES"/>
        </w:rPr>
        <w:t xml:space="preserve"> consumieron sustancias tóxicas en el embarazo, dato casi coincidente con el de este estudio: 17,3 %.</w:t>
      </w:r>
    </w:p>
    <w:p w14:paraId="0A892619" w14:textId="77777777" w:rsidR="00F726BD" w:rsidRPr="00B53F3A" w:rsidRDefault="00F726BD" w:rsidP="00F726BD">
      <w:pPr>
        <w:spacing w:after="0" w:line="360" w:lineRule="auto"/>
        <w:jc w:val="both"/>
        <w:rPr>
          <w:rFonts w:ascii="Arial" w:hAnsi="Arial" w:cs="Arial"/>
          <w:b/>
          <w:color w:val="FF0000"/>
          <w:sz w:val="24"/>
          <w:szCs w:val="24"/>
          <w:lang w:val="es-ES"/>
        </w:rPr>
      </w:pPr>
      <w:r w:rsidRPr="00B53F3A">
        <w:rPr>
          <w:rFonts w:ascii="Arial" w:hAnsi="Arial" w:cs="Arial"/>
          <w:sz w:val="24"/>
          <w:szCs w:val="24"/>
          <w:lang w:val="es-ES"/>
        </w:rPr>
        <w:t>Tanto en esta investigación, como en otras,</w:t>
      </w:r>
      <w:r w:rsidRPr="00B53F3A">
        <w:rPr>
          <w:rFonts w:ascii="Arial" w:hAnsi="Arial" w:cs="Arial"/>
          <w:sz w:val="24"/>
          <w:szCs w:val="24"/>
          <w:vertAlign w:val="superscript"/>
          <w:lang w:val="es-ES"/>
        </w:rPr>
        <w:t>(26,29)</w:t>
      </w:r>
      <w:r w:rsidRPr="00B53F3A">
        <w:rPr>
          <w:rFonts w:ascii="Arial" w:hAnsi="Arial" w:cs="Arial"/>
          <w:sz w:val="24"/>
          <w:szCs w:val="24"/>
          <w:lang w:val="es-ES"/>
        </w:rPr>
        <w:t xml:space="preserve"> predominaron las crisis epilépticas generalizadas, con una frecuencia relativa porcentual cercana a 60 %. Es esto congruente con el hecho de que las crisis epilépticas generalizadas son las de mayor frecuencia de presentación.</w:t>
      </w:r>
      <w:r w:rsidRPr="00B53F3A">
        <w:rPr>
          <w:rFonts w:ascii="Arial" w:hAnsi="Arial" w:cs="Arial"/>
          <w:sz w:val="24"/>
          <w:szCs w:val="24"/>
          <w:vertAlign w:val="superscript"/>
          <w:lang w:val="es-ES"/>
        </w:rPr>
        <w:t>(30)</w:t>
      </w:r>
    </w:p>
    <w:p w14:paraId="4A874A00"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iCs/>
          <w:sz w:val="24"/>
          <w:szCs w:val="24"/>
          <w:lang w:val="es-ES"/>
        </w:rPr>
        <w:t>Un estudio ecuatoriano</w:t>
      </w:r>
      <w:r w:rsidRPr="00B53F3A">
        <w:rPr>
          <w:rFonts w:ascii="Arial" w:hAnsi="Arial" w:cs="Arial"/>
          <w:sz w:val="24"/>
          <w:szCs w:val="24"/>
          <w:vertAlign w:val="superscript"/>
          <w:lang w:val="es-ES"/>
        </w:rPr>
        <w:t>(25)</w:t>
      </w:r>
      <w:r w:rsidRPr="00B53F3A">
        <w:rPr>
          <w:rFonts w:ascii="Arial" w:hAnsi="Arial" w:cs="Arial"/>
          <w:iCs/>
          <w:sz w:val="24"/>
          <w:szCs w:val="24"/>
          <w:lang w:val="es-ES"/>
        </w:rPr>
        <w:t xml:space="preserve"> y el aquí presentado </w:t>
      </w:r>
      <w:r w:rsidRPr="00B53F3A">
        <w:rPr>
          <w:rFonts w:ascii="Arial" w:hAnsi="Arial" w:cs="Arial"/>
          <w:sz w:val="24"/>
          <w:szCs w:val="24"/>
          <w:lang w:val="es-ES"/>
        </w:rPr>
        <w:t>registran una mayor frecuencia de TEA profundo entre este tipo de pacientes.</w:t>
      </w:r>
    </w:p>
    <w:p w14:paraId="432EAF53" w14:textId="77777777" w:rsidR="00F726BD" w:rsidRPr="00B53F3A" w:rsidRDefault="00F726BD" w:rsidP="00F726BD">
      <w:pPr>
        <w:spacing w:after="0" w:line="360" w:lineRule="auto"/>
        <w:jc w:val="both"/>
        <w:rPr>
          <w:rFonts w:ascii="Arial" w:hAnsi="Arial" w:cs="Arial"/>
          <w:color w:val="FF0000"/>
          <w:sz w:val="24"/>
          <w:szCs w:val="24"/>
          <w:lang w:val="es-ES"/>
        </w:rPr>
      </w:pPr>
      <w:r w:rsidRPr="00B53F3A">
        <w:rPr>
          <w:rFonts w:ascii="Arial" w:hAnsi="Arial" w:cs="Arial"/>
          <w:sz w:val="24"/>
          <w:szCs w:val="24"/>
          <w:lang w:val="es-ES"/>
        </w:rPr>
        <w:t>Es interesante cómo el síndrome de Rett, pese a su considerable representación en la población estudiada, solo se presentó en féminas, lo cual puede ser explicado por su prevalencia mundial considerablemente mayor para el sexo femenino que para el masculino.</w:t>
      </w:r>
      <w:r w:rsidRPr="00B53F3A">
        <w:rPr>
          <w:rFonts w:ascii="Arial" w:hAnsi="Arial" w:cs="Arial"/>
          <w:sz w:val="24"/>
          <w:szCs w:val="24"/>
          <w:vertAlign w:val="superscript"/>
          <w:lang w:val="es-ES"/>
        </w:rPr>
        <w:t>(31)</w:t>
      </w:r>
    </w:p>
    <w:p w14:paraId="7108EE5F"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 xml:space="preserve">Este estudio posee la limitación de que la recolección de los datos fue de HC de un centro de consulta externa, donde se espera que pacientes con ambas enfermedades asistan por descompensación con menor frecuencia </w:t>
      </w:r>
      <w:r w:rsidRPr="00B53F3A">
        <w:rPr>
          <w:rFonts w:ascii="Arial" w:hAnsi="Arial" w:cs="Arial"/>
          <w:sz w:val="24"/>
          <w:szCs w:val="24"/>
          <w:lang w:val="es-419"/>
        </w:rPr>
        <w:t>en comparación con</w:t>
      </w:r>
      <w:r w:rsidRPr="00B53F3A">
        <w:rPr>
          <w:rFonts w:ascii="Arial" w:hAnsi="Arial" w:cs="Arial"/>
          <w:sz w:val="24"/>
          <w:szCs w:val="24"/>
          <w:lang w:val="es-ES"/>
        </w:rPr>
        <w:t xml:space="preserve"> un centro hospitalario.</w:t>
      </w:r>
    </w:p>
    <w:p w14:paraId="7EADAFF0" w14:textId="0173FDE4" w:rsidR="00F726BD"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 xml:space="preserve">No obstante, esta investigación tiene la virtud y originalidad de no poseer ningún antecedente, al menos publicado en Cuba, por lo cual podrá convertirse en punto de partida para la ejecución </w:t>
      </w:r>
      <w:r w:rsidRPr="00B53F3A">
        <w:rPr>
          <w:rFonts w:ascii="Arial" w:hAnsi="Arial" w:cs="Arial"/>
          <w:sz w:val="24"/>
          <w:szCs w:val="24"/>
          <w:lang w:val="es-ES"/>
        </w:rPr>
        <w:lastRenderedPageBreak/>
        <w:t>de futuros estudios de esta comorbilidad, y la discusión de sus resultados, tanto en el ámbito nacional como regional.</w:t>
      </w:r>
    </w:p>
    <w:p w14:paraId="59DFD3D1" w14:textId="7ACDD769" w:rsidR="00052235" w:rsidRDefault="00052235" w:rsidP="00F726BD">
      <w:pPr>
        <w:spacing w:after="0" w:line="360" w:lineRule="auto"/>
        <w:jc w:val="both"/>
        <w:rPr>
          <w:rFonts w:ascii="Arial" w:hAnsi="Arial" w:cs="Arial"/>
          <w:sz w:val="24"/>
          <w:szCs w:val="24"/>
          <w:lang w:val="es-ES"/>
        </w:rPr>
      </w:pPr>
    </w:p>
    <w:p w14:paraId="4E80BE81" w14:textId="51173707" w:rsidR="00052235" w:rsidRPr="00B53F3A" w:rsidRDefault="00052235" w:rsidP="00052235">
      <w:pPr>
        <w:spacing w:after="0" w:line="360" w:lineRule="auto"/>
        <w:jc w:val="both"/>
        <w:rPr>
          <w:rFonts w:ascii="Arial" w:hAnsi="Arial" w:cs="Arial"/>
          <w:b/>
          <w:sz w:val="24"/>
          <w:szCs w:val="24"/>
          <w:lang w:val="es-ES"/>
        </w:rPr>
      </w:pPr>
      <w:r>
        <w:rPr>
          <w:rFonts w:ascii="Arial" w:hAnsi="Arial" w:cs="Arial"/>
          <w:b/>
          <w:sz w:val="24"/>
          <w:szCs w:val="24"/>
          <w:lang w:val="es-ES"/>
        </w:rPr>
        <w:t>CONCLUSIONES</w:t>
      </w:r>
    </w:p>
    <w:p w14:paraId="68438D16" w14:textId="05431442" w:rsidR="00F726BD" w:rsidRPr="00B53F3A" w:rsidRDefault="00052235" w:rsidP="00F726BD">
      <w:pPr>
        <w:spacing w:after="0" w:line="360" w:lineRule="auto"/>
        <w:jc w:val="both"/>
        <w:rPr>
          <w:rFonts w:ascii="Arial" w:hAnsi="Arial" w:cs="Arial"/>
          <w:color w:val="FF0000"/>
          <w:sz w:val="24"/>
          <w:szCs w:val="24"/>
          <w:lang w:val="es-ES"/>
        </w:rPr>
      </w:pPr>
      <w:r>
        <w:rPr>
          <w:rFonts w:ascii="Arial" w:hAnsi="Arial" w:cs="Arial"/>
          <w:sz w:val="24"/>
          <w:szCs w:val="24"/>
          <w:lang w:val="es-ES"/>
        </w:rPr>
        <w:t>E</w:t>
      </w:r>
      <w:r w:rsidR="00F726BD" w:rsidRPr="00B53F3A">
        <w:rPr>
          <w:rFonts w:ascii="Arial" w:hAnsi="Arial" w:cs="Arial"/>
          <w:sz w:val="24"/>
          <w:szCs w:val="24"/>
          <w:lang w:val="es-ES"/>
        </w:rPr>
        <w:t xml:space="preserve">n la población estudiada, la comorbilidad entre epilepsia y TEA se produce fundamentalmente en el sexo femenino, antes de la primera década de la vida, con coexistencia frecuente de un trastorno de déficit intelectual y la ausencia de factores de riesgo, en el contexto de crisis epilépticas generalizadas y un TEA congénito, profundo, idiopático y con diagnóstico posterior al de la epilepsia. </w:t>
      </w:r>
      <w:bookmarkStart w:id="0" w:name="_Hlk120547749"/>
    </w:p>
    <w:bookmarkEnd w:id="0"/>
    <w:p w14:paraId="02886B6C" w14:textId="77777777" w:rsidR="00F726BD" w:rsidRPr="00B53F3A" w:rsidRDefault="00F726BD" w:rsidP="00F726BD">
      <w:pPr>
        <w:spacing w:after="0" w:line="360" w:lineRule="auto"/>
        <w:jc w:val="both"/>
        <w:rPr>
          <w:rFonts w:ascii="Arial" w:hAnsi="Arial" w:cs="Arial"/>
          <w:b/>
          <w:color w:val="FF0000"/>
          <w:sz w:val="24"/>
          <w:szCs w:val="24"/>
          <w:lang w:val="es-ES"/>
        </w:rPr>
      </w:pPr>
    </w:p>
    <w:p w14:paraId="468DCD53" w14:textId="77777777" w:rsidR="00F726BD" w:rsidRPr="00B53F3A" w:rsidRDefault="00F726BD" w:rsidP="00F726BD">
      <w:pPr>
        <w:spacing w:after="0" w:line="360" w:lineRule="auto"/>
        <w:jc w:val="both"/>
        <w:rPr>
          <w:rFonts w:ascii="Arial" w:hAnsi="Arial" w:cs="Arial"/>
          <w:sz w:val="24"/>
          <w:szCs w:val="24"/>
          <w:lang w:val="es-ES"/>
        </w:rPr>
      </w:pPr>
      <w:r w:rsidRPr="00B53F3A">
        <w:rPr>
          <w:rFonts w:ascii="Arial" w:hAnsi="Arial" w:cs="Arial"/>
          <w:sz w:val="24"/>
          <w:szCs w:val="24"/>
          <w:lang w:val="es-ES"/>
        </w:rPr>
        <w:t>.</w:t>
      </w:r>
    </w:p>
    <w:p w14:paraId="490AC0BF" w14:textId="21D7C08F" w:rsidR="00F726BD" w:rsidRPr="00B53F3A" w:rsidRDefault="00051D01" w:rsidP="00F726BD">
      <w:pPr>
        <w:spacing w:after="0" w:line="360" w:lineRule="auto"/>
        <w:jc w:val="both"/>
        <w:rPr>
          <w:rFonts w:ascii="Arial" w:hAnsi="Arial" w:cs="Arial"/>
          <w:b/>
          <w:sz w:val="24"/>
          <w:szCs w:val="24"/>
          <w:lang w:val="es-ES"/>
        </w:rPr>
      </w:pPr>
      <w:r w:rsidRPr="00B53F3A">
        <w:rPr>
          <w:rFonts w:ascii="Arial" w:hAnsi="Arial" w:cs="Arial"/>
          <w:b/>
          <w:sz w:val="24"/>
          <w:szCs w:val="24"/>
          <w:lang w:val="es-ES"/>
        </w:rPr>
        <w:t>REFERENCIAS BIBLIOGRÁFICAS</w:t>
      </w:r>
    </w:p>
    <w:p w14:paraId="3C9136D4"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ES"/>
        </w:rPr>
      </w:pPr>
      <w:r w:rsidRPr="00B53F3A">
        <w:rPr>
          <w:rFonts w:ascii="Arial" w:hAnsi="Arial" w:cs="Arial"/>
          <w:sz w:val="24"/>
          <w:szCs w:val="24"/>
          <w:lang w:val="es-ES"/>
        </w:rPr>
        <w:t xml:space="preserve">1. Robles López LR, Hernández Barrios LR, Peña Rosales B, De la Rosa Arredondo T, Guadarrama Ortiz P. Trastorno del espectro autista: una revisión para el médico de primer nivel de atención. Aten Fam. 2019;26(4):150-7. DOI: </w:t>
      </w:r>
      <w:hyperlink r:id="rId19" w:history="1">
        <w:r w:rsidRPr="00B53F3A">
          <w:rPr>
            <w:rStyle w:val="Hipervnculo"/>
            <w:rFonts w:ascii="Arial" w:hAnsi="Arial" w:cs="Arial"/>
            <w:sz w:val="24"/>
            <w:szCs w:val="24"/>
            <w:lang w:val="es-ES"/>
          </w:rPr>
          <w:t>http://dx.doi.org/10.22201/facmed.14058871p.2019.4.70790</w:t>
        </w:r>
      </w:hyperlink>
    </w:p>
    <w:p w14:paraId="29F13BE2" w14:textId="77777777" w:rsidR="00F726BD" w:rsidRPr="00B53F3A" w:rsidRDefault="00F726BD" w:rsidP="00F726BD">
      <w:pPr>
        <w:spacing w:after="0" w:line="360" w:lineRule="auto"/>
        <w:jc w:val="both"/>
        <w:rPr>
          <w:rFonts w:ascii="Arial" w:hAnsi="Arial" w:cs="Arial"/>
          <w:sz w:val="24"/>
          <w:szCs w:val="24"/>
        </w:rPr>
      </w:pPr>
      <w:r w:rsidRPr="00B53F3A">
        <w:rPr>
          <w:rFonts w:ascii="Arial" w:hAnsi="Arial" w:cs="Arial"/>
          <w:sz w:val="24"/>
          <w:szCs w:val="24"/>
          <w:lang w:val="es-ES"/>
        </w:rPr>
        <w:t xml:space="preserve">2. Rojas V, Rivera A, Nilo N. Actualización en diagnóstico e intervención temprana del Trastorno del Espectro Autista. </w:t>
      </w:r>
      <w:r w:rsidRPr="00B53F3A">
        <w:rPr>
          <w:rFonts w:ascii="Arial" w:hAnsi="Arial" w:cs="Arial"/>
          <w:sz w:val="24"/>
          <w:szCs w:val="24"/>
        </w:rPr>
        <w:t xml:space="preserve">Rev chil pediatr. 2019;90(5):478-84. </w:t>
      </w:r>
      <w:bookmarkStart w:id="1" w:name="_Hlk120310738"/>
      <w:r w:rsidRPr="00B53F3A">
        <w:rPr>
          <w:rFonts w:ascii="Arial" w:hAnsi="Arial" w:cs="Arial"/>
          <w:sz w:val="24"/>
          <w:szCs w:val="24"/>
        </w:rPr>
        <w:t xml:space="preserve">DOI: </w:t>
      </w:r>
      <w:bookmarkEnd w:id="1"/>
      <w:r w:rsidRPr="00B53F3A">
        <w:fldChar w:fldCharType="begin"/>
      </w:r>
      <w:r w:rsidRPr="00B53F3A">
        <w:rPr>
          <w:rFonts w:ascii="Arial" w:hAnsi="Arial" w:cs="Arial"/>
          <w:sz w:val="24"/>
          <w:szCs w:val="24"/>
        </w:rPr>
        <w:instrText xml:space="preserve"> HYPERLINK "http://dx.doi.org/10.32641/rchped.v90i5.1294" </w:instrText>
      </w:r>
      <w:r w:rsidRPr="00B53F3A">
        <w:fldChar w:fldCharType="separate"/>
      </w:r>
      <w:r w:rsidRPr="00B53F3A">
        <w:rPr>
          <w:rStyle w:val="Hipervnculo"/>
          <w:rFonts w:ascii="Arial" w:hAnsi="Arial" w:cs="Arial"/>
          <w:sz w:val="24"/>
          <w:szCs w:val="24"/>
        </w:rPr>
        <w:t>http://dx.doi.org/10.32641/rchped.v90i5.1294</w:t>
      </w:r>
      <w:r w:rsidRPr="00B53F3A">
        <w:rPr>
          <w:rStyle w:val="Hipervnculo"/>
          <w:rFonts w:ascii="Arial" w:hAnsi="Arial" w:cs="Arial"/>
          <w:sz w:val="24"/>
          <w:szCs w:val="24"/>
          <w:lang w:val="es-ES"/>
        </w:rPr>
        <w:fldChar w:fldCharType="end"/>
      </w:r>
    </w:p>
    <w:p w14:paraId="269310EA"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3. Hodges H, Fealko C, Soares N. Autism spectrum disorder: definition, epidemiology, causes, and clinical evaluation. Transl Pediatr. 2020;9(Supl. 1):S55-S65. DOI: </w:t>
      </w:r>
      <w:hyperlink r:id="rId20" w:history="1">
        <w:r w:rsidRPr="00B53F3A">
          <w:rPr>
            <w:rStyle w:val="Hipervnculo"/>
            <w:rFonts w:ascii="Arial" w:hAnsi="Arial" w:cs="Arial"/>
            <w:sz w:val="24"/>
            <w:szCs w:val="24"/>
          </w:rPr>
          <w:t>https://doi.org/10.21037/tp.2019.09.09</w:t>
        </w:r>
      </w:hyperlink>
    </w:p>
    <w:p w14:paraId="72FCA33E"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4. Campisi L, Imran N, Nazeer A, Skokauskas N, Azeem MW. Autism spectrum disorder. British Med Bull. 2018;127(1):91-100. DOI: </w:t>
      </w:r>
      <w:hyperlink r:id="rId21" w:history="1">
        <w:r w:rsidRPr="00B53F3A">
          <w:rPr>
            <w:rStyle w:val="Hipervnculo"/>
            <w:rFonts w:ascii="Arial" w:hAnsi="Arial" w:cs="Arial"/>
            <w:sz w:val="24"/>
            <w:szCs w:val="24"/>
          </w:rPr>
          <w:t>https://doi.org/10.1093/bmb/ldy026</w:t>
        </w:r>
      </w:hyperlink>
    </w:p>
    <w:p w14:paraId="610F713D"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ES"/>
        </w:rPr>
      </w:pPr>
      <w:r w:rsidRPr="00B53F3A">
        <w:rPr>
          <w:rFonts w:ascii="Arial" w:hAnsi="Arial" w:cs="Arial"/>
          <w:sz w:val="24"/>
          <w:szCs w:val="24"/>
        </w:rPr>
        <w:t xml:space="preserve">5. Mubashir S, Farrugia M, Coretti L, Pessia M, D’Adamo M. Autism spectrum disorder. Malta Med J. 2020 [acceso 27/12/2021];32(3):56-66. </w:t>
      </w:r>
      <w:r w:rsidRPr="00B53F3A">
        <w:rPr>
          <w:rFonts w:ascii="Arial" w:hAnsi="Arial" w:cs="Arial"/>
          <w:sz w:val="24"/>
          <w:szCs w:val="24"/>
          <w:lang w:val="es-ES"/>
        </w:rPr>
        <w:t xml:space="preserve">Disponible en: </w:t>
      </w:r>
      <w:hyperlink r:id="rId22" w:history="1">
        <w:r w:rsidRPr="00B53F3A">
          <w:rPr>
            <w:rStyle w:val="Hipervnculo"/>
            <w:rFonts w:ascii="Arial" w:hAnsi="Arial" w:cs="Arial"/>
            <w:sz w:val="24"/>
            <w:szCs w:val="24"/>
            <w:lang w:val="es-ES"/>
          </w:rPr>
          <w:t>http://www.mmsjournals.org/index.php/mmj/article/view/290/1061</w:t>
        </w:r>
      </w:hyperlink>
    </w:p>
    <w:p w14:paraId="28782AC5"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ES"/>
        </w:rPr>
      </w:pPr>
      <w:r w:rsidRPr="00B53F3A">
        <w:rPr>
          <w:rFonts w:ascii="Arial" w:hAnsi="Arial" w:cs="Arial"/>
          <w:sz w:val="24"/>
          <w:szCs w:val="24"/>
          <w:lang w:val="es-ES"/>
        </w:rPr>
        <w:t xml:space="preserve">6. Organización Mundial de la Salud. Temas de salud: Trastornos del espectro autista. 2021 [acceso 27/12/2021]. Disponible en: </w:t>
      </w:r>
      <w:hyperlink r:id="rId23" w:history="1">
        <w:r w:rsidRPr="00B53F3A">
          <w:rPr>
            <w:rStyle w:val="Hipervnculo"/>
            <w:rFonts w:ascii="Arial" w:hAnsi="Arial" w:cs="Arial"/>
            <w:sz w:val="24"/>
            <w:szCs w:val="24"/>
            <w:lang w:val="es-ES"/>
          </w:rPr>
          <w:t>https://www.who.int/es/news-room/fact-sheets/detail/autism-spectrum-disorders</w:t>
        </w:r>
      </w:hyperlink>
    </w:p>
    <w:p w14:paraId="250D99D7"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7. Fisher RS, Acevedo A, Arzimanoglu A, Bogacz A, Cross H, Elger CE, </w:t>
      </w:r>
      <w:r w:rsidRPr="00B53F3A">
        <w:rPr>
          <w:rFonts w:ascii="Arial" w:hAnsi="Arial" w:cs="Arial"/>
          <w:i/>
          <w:sz w:val="24"/>
          <w:szCs w:val="24"/>
        </w:rPr>
        <w:t>et al</w:t>
      </w:r>
      <w:r w:rsidRPr="00B53F3A">
        <w:rPr>
          <w:rFonts w:ascii="Arial" w:hAnsi="Arial" w:cs="Arial"/>
          <w:sz w:val="24"/>
          <w:szCs w:val="24"/>
        </w:rPr>
        <w:t xml:space="preserve">. A practical definition of epilepsy. Epilepsia. 2014;55(4):475-482. Disponible en: </w:t>
      </w:r>
      <w:hyperlink r:id="rId24" w:history="1">
        <w:r w:rsidRPr="00B53F3A">
          <w:rPr>
            <w:rStyle w:val="Hipervnculo"/>
            <w:rFonts w:ascii="Arial" w:hAnsi="Arial" w:cs="Arial"/>
            <w:sz w:val="24"/>
            <w:szCs w:val="24"/>
          </w:rPr>
          <w:t>https://doi.org/10.1111/epi.12550</w:t>
        </w:r>
      </w:hyperlink>
    </w:p>
    <w:p w14:paraId="15D39185"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419"/>
        </w:rPr>
      </w:pPr>
      <w:r w:rsidRPr="00B53F3A">
        <w:rPr>
          <w:rFonts w:ascii="Arial" w:hAnsi="Arial" w:cs="Arial"/>
          <w:sz w:val="24"/>
          <w:szCs w:val="24"/>
        </w:rPr>
        <w:lastRenderedPageBreak/>
        <w:t xml:space="preserve">8. Fisher RS, Cross JH, French JA, Higuarashi N, Hirsch E, Jansen FE, </w:t>
      </w:r>
      <w:r w:rsidRPr="00B53F3A">
        <w:rPr>
          <w:rFonts w:ascii="Arial" w:hAnsi="Arial" w:cs="Arial"/>
          <w:i/>
          <w:sz w:val="24"/>
          <w:szCs w:val="24"/>
        </w:rPr>
        <w:t>et al</w:t>
      </w:r>
      <w:r w:rsidRPr="00B53F3A">
        <w:rPr>
          <w:rFonts w:ascii="Arial" w:hAnsi="Arial" w:cs="Arial"/>
          <w:sz w:val="24"/>
          <w:szCs w:val="24"/>
        </w:rPr>
        <w:t xml:space="preserve">. Operational classification of seizures types by the International League Against Epilepsy: Position Paper of the ILAE Commission for Classification and Terminology. </w:t>
      </w:r>
      <w:r w:rsidRPr="00B53F3A">
        <w:rPr>
          <w:rFonts w:ascii="Arial" w:hAnsi="Arial" w:cs="Arial"/>
          <w:sz w:val="24"/>
          <w:szCs w:val="24"/>
          <w:lang w:val="es-419"/>
        </w:rPr>
        <w:t xml:space="preserve">Epilepsia. 2017 [acceso 27/12/2021];58(4):522-530. Disponible en: </w:t>
      </w:r>
      <w:hyperlink r:id="rId25" w:history="1">
        <w:r w:rsidRPr="00B53F3A">
          <w:rPr>
            <w:rStyle w:val="Hipervnculo"/>
            <w:rFonts w:ascii="Arial" w:hAnsi="Arial" w:cs="Arial"/>
            <w:sz w:val="24"/>
            <w:szCs w:val="24"/>
            <w:lang w:val="es-419"/>
          </w:rPr>
          <w:t>https://doi.org/10.1111/epi.13670</w:t>
        </w:r>
      </w:hyperlink>
    </w:p>
    <w:p w14:paraId="70824892"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ES"/>
        </w:rPr>
      </w:pPr>
      <w:r w:rsidRPr="00B53F3A">
        <w:rPr>
          <w:rFonts w:ascii="Arial" w:hAnsi="Arial" w:cs="Arial"/>
          <w:sz w:val="24"/>
          <w:szCs w:val="24"/>
          <w:lang w:val="es-ES"/>
        </w:rPr>
        <w:t xml:space="preserve">9. Organización Mundial de la Salud. Temas de salud: Epilepsia. 2019 [acceso 5/1/2022]. Disponible en: </w:t>
      </w:r>
      <w:hyperlink r:id="rId26" w:history="1">
        <w:r w:rsidRPr="00B53F3A">
          <w:rPr>
            <w:rStyle w:val="Hipervnculo"/>
            <w:rFonts w:ascii="Arial" w:hAnsi="Arial" w:cs="Arial"/>
            <w:sz w:val="24"/>
            <w:szCs w:val="24"/>
            <w:lang w:val="es-ES"/>
          </w:rPr>
          <w:t>https://www.who.int/es/news-room/fact-sheets/detail/epilepsy</w:t>
        </w:r>
      </w:hyperlink>
    </w:p>
    <w:p w14:paraId="5126FE27"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10. Beghi E. The Epidemiology of Epilepsy. Neuroepidemiology. 2020;54:185-191. DOI: </w:t>
      </w:r>
      <w:hyperlink r:id="rId27" w:history="1">
        <w:r w:rsidRPr="00B53F3A">
          <w:rPr>
            <w:rStyle w:val="Hipervnculo"/>
            <w:rFonts w:ascii="Arial" w:hAnsi="Arial" w:cs="Arial"/>
            <w:sz w:val="24"/>
            <w:szCs w:val="24"/>
          </w:rPr>
          <w:t>https://doi.org/10.1159/000503831</w:t>
        </w:r>
      </w:hyperlink>
    </w:p>
    <w:p w14:paraId="5FF0F469"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11. Liu X, Sun X, Sun C, Zou M, Chen Y, Huang J, </w:t>
      </w:r>
      <w:r w:rsidRPr="00B53F3A">
        <w:rPr>
          <w:rFonts w:ascii="Arial" w:hAnsi="Arial" w:cs="Arial"/>
          <w:i/>
          <w:iCs/>
          <w:sz w:val="24"/>
          <w:szCs w:val="24"/>
        </w:rPr>
        <w:t>et al</w:t>
      </w:r>
      <w:r w:rsidRPr="00B53F3A">
        <w:rPr>
          <w:rFonts w:ascii="Arial" w:hAnsi="Arial" w:cs="Arial"/>
          <w:sz w:val="24"/>
          <w:szCs w:val="24"/>
        </w:rPr>
        <w:t xml:space="preserve">. Prevalence of epilepsy in autism spectrum disorders: A systematic review and meta-analysis. Autism. 2022;26(1):33-50. DOI: </w:t>
      </w:r>
      <w:hyperlink r:id="rId28" w:history="1">
        <w:r w:rsidRPr="00B53F3A">
          <w:rPr>
            <w:rStyle w:val="Hipervnculo"/>
            <w:rFonts w:ascii="Arial" w:hAnsi="Arial" w:cs="Arial"/>
            <w:sz w:val="24"/>
            <w:szCs w:val="24"/>
          </w:rPr>
          <w:t>https://doi.org/10.1177/13623613211045029</w:t>
        </w:r>
      </w:hyperlink>
    </w:p>
    <w:p w14:paraId="39DD3C9B"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12. Posar A, Visconti P. Some considerations about the association between autism spectrum disorder and epilepsy. Turk Pediatri Ars. 2020;55(3):331-2. DOI:  </w:t>
      </w:r>
      <w:hyperlink r:id="rId29" w:history="1">
        <w:r w:rsidRPr="00B53F3A">
          <w:rPr>
            <w:rStyle w:val="Hipervnculo"/>
            <w:rFonts w:ascii="Arial" w:hAnsi="Arial" w:cs="Arial"/>
            <w:sz w:val="24"/>
            <w:szCs w:val="24"/>
          </w:rPr>
          <w:t>https://doi.org/10.14744/TurkPediatriArs.2020.99266</w:t>
        </w:r>
      </w:hyperlink>
    </w:p>
    <w:p w14:paraId="776AE5B0"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13. Loussouarn A, Dozières-Puyravel B, Auvin S. Autistic spectrum disorder and epilepsy: diagnostic challenges. Expert Rev Neurotherapeut. 2019;19(6):579-85. DOI: </w:t>
      </w:r>
      <w:hyperlink r:id="rId30" w:history="1">
        <w:r w:rsidRPr="00B53F3A">
          <w:rPr>
            <w:rStyle w:val="Hipervnculo"/>
            <w:rFonts w:ascii="Arial" w:hAnsi="Arial" w:cs="Arial"/>
            <w:sz w:val="24"/>
            <w:szCs w:val="24"/>
          </w:rPr>
          <w:t>https://doi.org/10.1080/14737175.2019.1617699</w:t>
        </w:r>
      </w:hyperlink>
    </w:p>
    <w:p w14:paraId="5AFA99E8"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14. Strasser L, Downes M, Kung J, Cross JH, De Haan M. Prevalence and risk factors for autism spectrum disorder in epilepsy: a systematic review and meta-analysis. Dev Med Child Neurol. 2018;60(1):19-29. DOI: </w:t>
      </w:r>
      <w:hyperlink r:id="rId31" w:history="1">
        <w:r w:rsidRPr="00B53F3A">
          <w:rPr>
            <w:rStyle w:val="Hipervnculo"/>
            <w:rFonts w:ascii="Arial" w:hAnsi="Arial" w:cs="Arial"/>
            <w:sz w:val="24"/>
            <w:szCs w:val="24"/>
          </w:rPr>
          <w:t>https://doi.org/10.1111/dmcn.13598</w:t>
        </w:r>
      </w:hyperlink>
    </w:p>
    <w:p w14:paraId="5AEF349E"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15. Besag FMC, Vasey MJ. Seizures and Epilepsy in Autism Spectrum Disorder. Child and Adolescent Psychiatric Clinics of North America. 2020;29(3):483-500. DOI: </w:t>
      </w:r>
      <w:hyperlink r:id="rId32" w:history="1">
        <w:r w:rsidRPr="00B53F3A">
          <w:rPr>
            <w:rStyle w:val="Hipervnculo"/>
            <w:rFonts w:ascii="Arial" w:hAnsi="Arial" w:cs="Arial"/>
            <w:sz w:val="24"/>
            <w:szCs w:val="24"/>
          </w:rPr>
          <w:t>https://doi.org/doi:10.1016/j.chc.2020.02.002</w:t>
        </w:r>
      </w:hyperlink>
    </w:p>
    <w:p w14:paraId="25C27B59"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419"/>
        </w:rPr>
      </w:pPr>
      <w:r w:rsidRPr="00B53F3A">
        <w:rPr>
          <w:rFonts w:ascii="Arial" w:hAnsi="Arial" w:cs="Arial"/>
          <w:sz w:val="24"/>
          <w:szCs w:val="24"/>
        </w:rPr>
        <w:t xml:space="preserve">16. Austin A, Shahidullah JD. Medical Comorbidities in Pediatric Autism Spectrum Disorder. In: McClain M, Shahidullah J, Mezher K, editors. Interprofessional Care Coordination for Pediatric Autism Spectrum Disorder. </w:t>
      </w:r>
      <w:r w:rsidRPr="00B53F3A">
        <w:rPr>
          <w:rFonts w:ascii="Arial" w:hAnsi="Arial" w:cs="Arial"/>
          <w:sz w:val="24"/>
          <w:szCs w:val="24"/>
          <w:lang w:val="es-419"/>
        </w:rPr>
        <w:t xml:space="preserve">Cham: Springer; 2020. DOI: </w:t>
      </w:r>
      <w:hyperlink r:id="rId33" w:history="1">
        <w:r w:rsidRPr="00B53F3A">
          <w:rPr>
            <w:rStyle w:val="Hipervnculo"/>
            <w:rFonts w:ascii="Arial" w:hAnsi="Arial" w:cs="Arial"/>
            <w:sz w:val="24"/>
            <w:szCs w:val="24"/>
            <w:lang w:val="es-419"/>
          </w:rPr>
          <w:t>https://doi.org/10.1007/978-3-030-46295-6_2</w:t>
        </w:r>
      </w:hyperlink>
    </w:p>
    <w:p w14:paraId="3102D907"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lang w:val="es-ES"/>
        </w:rPr>
        <w:t>17. American Psychiatric Association. Suplemento del Manual Diagnóstico y Estadístico de Trastornos Mentales, Quinta Edición.</w:t>
      </w:r>
      <w:r w:rsidRPr="00B53F3A">
        <w:rPr>
          <w:rFonts w:ascii="Arial" w:hAnsi="Arial" w:cs="Arial"/>
          <w:sz w:val="24"/>
          <w:szCs w:val="24"/>
          <w:lang w:val="es-419"/>
        </w:rPr>
        <w:t xml:space="preserve"> </w:t>
      </w:r>
      <w:r w:rsidRPr="00B53F3A">
        <w:rPr>
          <w:rFonts w:ascii="Arial" w:hAnsi="Arial" w:cs="Arial"/>
          <w:sz w:val="24"/>
          <w:szCs w:val="24"/>
        </w:rPr>
        <w:t xml:space="preserve">Arlington: American Psychiatric Association Publishing; 2016 [acceso 15/1/2022]. Disponible en: </w:t>
      </w:r>
      <w:hyperlink r:id="rId34" w:history="1">
        <w:r w:rsidRPr="00B53F3A">
          <w:rPr>
            <w:rStyle w:val="Hipervnculo"/>
            <w:rFonts w:ascii="Arial" w:hAnsi="Arial" w:cs="Arial"/>
            <w:sz w:val="24"/>
            <w:szCs w:val="24"/>
          </w:rPr>
          <w:t>https://dsm.psychiatryonline.org/pb-assets/dsm/update/Spanish_DSM5Update2016.pdf</w:t>
        </w:r>
      </w:hyperlink>
    </w:p>
    <w:p w14:paraId="554CB743"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419"/>
        </w:rPr>
      </w:pPr>
      <w:r w:rsidRPr="00B53F3A">
        <w:rPr>
          <w:rFonts w:ascii="Arial" w:hAnsi="Arial" w:cs="Arial"/>
          <w:sz w:val="24"/>
          <w:szCs w:val="24"/>
        </w:rPr>
        <w:lastRenderedPageBreak/>
        <w:t xml:space="preserve">18. Schopler E, Reichler RJ, DeVellis RF, Daly K. Toward objective classification of childhood autism: Childhood Autism Rating Scale (CARS). </w:t>
      </w:r>
      <w:r w:rsidRPr="00B53F3A">
        <w:rPr>
          <w:rFonts w:ascii="Arial" w:hAnsi="Arial" w:cs="Arial"/>
          <w:sz w:val="24"/>
          <w:szCs w:val="24"/>
          <w:lang w:val="es-419"/>
        </w:rPr>
        <w:t xml:space="preserve">J Autism Develop Disord. 1980;10(1):91-103. DOI: </w:t>
      </w:r>
      <w:hyperlink r:id="rId35" w:history="1">
        <w:r w:rsidRPr="00B53F3A">
          <w:rPr>
            <w:rStyle w:val="Hipervnculo"/>
            <w:rFonts w:ascii="Arial" w:hAnsi="Arial" w:cs="Arial"/>
            <w:sz w:val="24"/>
            <w:szCs w:val="24"/>
            <w:lang w:val="es-419"/>
          </w:rPr>
          <w:t>https://doi.org/10.1007/bf02408436</w:t>
        </w:r>
      </w:hyperlink>
    </w:p>
    <w:p w14:paraId="7B1F5762"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ES"/>
        </w:rPr>
      </w:pPr>
      <w:r w:rsidRPr="00B53F3A">
        <w:rPr>
          <w:rFonts w:ascii="Arial" w:hAnsi="Arial" w:cs="Arial"/>
          <w:sz w:val="24"/>
          <w:szCs w:val="24"/>
          <w:lang w:val="es-ES"/>
        </w:rPr>
        <w:t xml:space="preserve">19. Asamblea Médica Mundial (AMN). Declaración de Helsinki de la AMN – Principios éticos para las investigaciones médicas en seres humanos. Fortaleza: 64ª Asamblea General; 2013 [acceso 02/02/2022]. Disponible en: </w:t>
      </w:r>
      <w:hyperlink r:id="rId36" w:history="1">
        <w:r w:rsidRPr="00B53F3A">
          <w:rPr>
            <w:rStyle w:val="Hipervnculo"/>
            <w:rFonts w:ascii="Arial" w:hAnsi="Arial" w:cs="Arial"/>
            <w:sz w:val="24"/>
            <w:szCs w:val="24"/>
            <w:lang w:val="es-ES"/>
          </w:rPr>
          <w:t>https://www.wma.net/es/policies-post/declaracion-de-helsinki-de-la-amm-principios-eticos-para-las-investigaciones-medicas-en-seres-humanos/</w:t>
        </w:r>
      </w:hyperlink>
    </w:p>
    <w:p w14:paraId="7C6846D4"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20. Ewen JB, Marvin AR, Law K, Lipkin PH. Epilepsy and Autism Severity: A Study of 6,975 Children. Autism Res. 2019:1-9. DOI: </w:t>
      </w:r>
      <w:hyperlink r:id="rId37" w:history="1">
        <w:r w:rsidRPr="00B53F3A">
          <w:rPr>
            <w:rStyle w:val="Hipervnculo"/>
            <w:rFonts w:ascii="Arial" w:hAnsi="Arial" w:cs="Arial"/>
            <w:sz w:val="24"/>
            <w:szCs w:val="24"/>
          </w:rPr>
          <w:t>https://doi.org/10.1002/aur.2132</w:t>
        </w:r>
      </w:hyperlink>
    </w:p>
    <w:p w14:paraId="47723983"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ES"/>
        </w:rPr>
      </w:pPr>
      <w:r w:rsidRPr="00B53F3A">
        <w:rPr>
          <w:rFonts w:ascii="Arial" w:hAnsi="Arial" w:cs="Arial"/>
          <w:sz w:val="24"/>
          <w:szCs w:val="24"/>
        </w:rPr>
        <w:t xml:space="preserve">21. Lukmanji S, Manji SA, Kadhim S, Sauro KM, Wirrell EC, Kwon CS, </w:t>
      </w:r>
      <w:r w:rsidRPr="00B53F3A">
        <w:rPr>
          <w:rFonts w:ascii="Arial" w:hAnsi="Arial" w:cs="Arial"/>
          <w:i/>
          <w:sz w:val="24"/>
          <w:szCs w:val="24"/>
        </w:rPr>
        <w:t>et al.</w:t>
      </w:r>
      <w:r w:rsidRPr="00B53F3A">
        <w:rPr>
          <w:rFonts w:ascii="Arial" w:hAnsi="Arial" w:cs="Arial"/>
          <w:sz w:val="24"/>
          <w:szCs w:val="24"/>
        </w:rPr>
        <w:t xml:space="preserve"> The co-occurrence of epilepsy and autism: A systematic review. </w:t>
      </w:r>
      <w:r w:rsidRPr="00B53F3A">
        <w:rPr>
          <w:rFonts w:ascii="Arial" w:hAnsi="Arial" w:cs="Arial"/>
          <w:sz w:val="24"/>
          <w:szCs w:val="24"/>
          <w:lang w:val="es-ES"/>
        </w:rPr>
        <w:t xml:space="preserve">Epilepsy Beh. 2019;98:238-48. </w:t>
      </w:r>
      <w:r w:rsidRPr="00B53F3A">
        <w:rPr>
          <w:rFonts w:ascii="Arial" w:hAnsi="Arial" w:cs="Arial"/>
          <w:sz w:val="24"/>
          <w:szCs w:val="24"/>
          <w:lang w:val="es-419"/>
        </w:rPr>
        <w:t xml:space="preserve">DOI: </w:t>
      </w:r>
      <w:hyperlink r:id="rId38" w:history="1">
        <w:r w:rsidRPr="00B53F3A">
          <w:rPr>
            <w:rStyle w:val="Hipervnculo"/>
            <w:rFonts w:ascii="Arial" w:hAnsi="Arial" w:cs="Arial"/>
            <w:sz w:val="24"/>
            <w:szCs w:val="24"/>
            <w:lang w:val="es-ES"/>
          </w:rPr>
          <w:t>https://doi.org/10.1016/j.yebeh.2019.07.037</w:t>
        </w:r>
      </w:hyperlink>
    </w:p>
    <w:p w14:paraId="0415323B"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lang w:val="es-ES"/>
        </w:rPr>
        <w:t xml:space="preserve">22. Espinosa E, Mera P, Toledo D, Mera P. Trastorno del espectro autista: caracterización clínica en pacientes de dos centros de referencia en Bogotá, Colombia. </w:t>
      </w:r>
      <w:r w:rsidRPr="00B53F3A">
        <w:rPr>
          <w:rFonts w:ascii="Arial" w:hAnsi="Arial" w:cs="Arial"/>
          <w:sz w:val="24"/>
          <w:szCs w:val="24"/>
        </w:rPr>
        <w:t xml:space="preserve">Rev Med. 2019;26(1):34-44. DOI: </w:t>
      </w:r>
      <w:hyperlink r:id="rId39" w:history="1">
        <w:r w:rsidRPr="00B53F3A">
          <w:rPr>
            <w:rStyle w:val="Hipervnculo"/>
            <w:rFonts w:ascii="Arial" w:hAnsi="Arial" w:cs="Arial"/>
            <w:sz w:val="24"/>
            <w:szCs w:val="24"/>
          </w:rPr>
          <w:t>https://doi.org/10.18359/rmed.3990</w:t>
        </w:r>
      </w:hyperlink>
    </w:p>
    <w:p w14:paraId="3C34BA88"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23. Hodges H, Casey F, Soares N. Autism spectrum disorder: definition, epidemiology, causes, and clinical evaluation. Transl Pediatr. 2020;9(Supl. 1):S55-S65. DOI: </w:t>
      </w:r>
      <w:hyperlink r:id="rId40" w:history="1">
        <w:r w:rsidRPr="00B53F3A">
          <w:rPr>
            <w:rStyle w:val="Hipervnculo"/>
            <w:rFonts w:ascii="Arial" w:hAnsi="Arial" w:cs="Arial"/>
            <w:sz w:val="24"/>
            <w:szCs w:val="24"/>
          </w:rPr>
          <w:t>https://doi.org/10.21037/tp.2019.09.09</w:t>
        </w:r>
      </w:hyperlink>
    </w:p>
    <w:p w14:paraId="4DE4B69E"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419"/>
        </w:rPr>
      </w:pPr>
      <w:r w:rsidRPr="00B53F3A">
        <w:rPr>
          <w:rFonts w:ascii="Arial" w:hAnsi="Arial" w:cs="Arial"/>
          <w:sz w:val="24"/>
          <w:szCs w:val="24"/>
        </w:rPr>
        <w:t xml:space="preserve">24. Chiarotti F, Venerosi A. Epidemiology of Autism Spectrum Disorders: A Review of Worldwide Prevalence Estimates Since 2014. </w:t>
      </w:r>
      <w:r w:rsidRPr="00B53F3A">
        <w:rPr>
          <w:rFonts w:ascii="Arial" w:hAnsi="Arial" w:cs="Arial"/>
          <w:sz w:val="24"/>
          <w:szCs w:val="24"/>
          <w:lang w:val="es-419"/>
        </w:rPr>
        <w:t>Brain Sci. 2020</w:t>
      </w:r>
      <w:r w:rsidRPr="00B53F3A">
        <w:rPr>
          <w:rFonts w:ascii="Arial" w:hAnsi="Arial" w:cs="Arial"/>
          <w:sz w:val="24"/>
          <w:szCs w:val="24"/>
          <w:lang w:val="es-ES"/>
        </w:rPr>
        <w:t>;</w:t>
      </w:r>
      <w:r w:rsidRPr="00B53F3A">
        <w:rPr>
          <w:rFonts w:ascii="Arial" w:hAnsi="Arial" w:cs="Arial"/>
          <w:sz w:val="24"/>
          <w:szCs w:val="24"/>
          <w:lang w:val="es-419"/>
        </w:rPr>
        <w:t>10(5):274.</w:t>
      </w:r>
      <w:r w:rsidRPr="00B53F3A">
        <w:rPr>
          <w:rFonts w:ascii="Arial" w:hAnsi="Arial" w:cs="Arial"/>
          <w:sz w:val="24"/>
          <w:szCs w:val="24"/>
          <w:lang w:val="es-ES"/>
        </w:rPr>
        <w:t xml:space="preserve"> </w:t>
      </w:r>
      <w:r w:rsidRPr="00B53F3A">
        <w:rPr>
          <w:rFonts w:ascii="Arial" w:hAnsi="Arial" w:cs="Arial"/>
          <w:sz w:val="24"/>
          <w:szCs w:val="24"/>
          <w:lang w:val="es-419"/>
        </w:rPr>
        <w:t xml:space="preserve">DOI: </w:t>
      </w:r>
      <w:hyperlink r:id="rId41" w:history="1">
        <w:r w:rsidRPr="00B53F3A">
          <w:rPr>
            <w:rStyle w:val="Hipervnculo"/>
            <w:rFonts w:ascii="Arial" w:hAnsi="Arial" w:cs="Arial"/>
            <w:sz w:val="24"/>
            <w:szCs w:val="24"/>
            <w:lang w:val="es-419"/>
          </w:rPr>
          <w:t>https://doi.org/10.3390/brainsci10050274</w:t>
        </w:r>
      </w:hyperlink>
    </w:p>
    <w:p w14:paraId="5A3EA29D"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lang w:val="es-419"/>
        </w:rPr>
        <w:t xml:space="preserve">25. </w:t>
      </w:r>
      <w:r w:rsidRPr="00B53F3A">
        <w:rPr>
          <w:rFonts w:ascii="Arial" w:hAnsi="Arial" w:cs="Arial"/>
          <w:sz w:val="24"/>
          <w:szCs w:val="24"/>
          <w:lang w:val="es-ES"/>
        </w:rPr>
        <w:t xml:space="preserve">Astudillo-Mariño N, Garzón-Palacios EN, Erazo-Noguera PC. </w:t>
      </w:r>
      <w:r w:rsidRPr="00B53F3A">
        <w:rPr>
          <w:rFonts w:ascii="Arial" w:hAnsi="Arial" w:cs="Arial"/>
          <w:sz w:val="24"/>
          <w:szCs w:val="24"/>
        </w:rPr>
        <w:t xml:space="preserve">Relationship between autism spectrum disorder and epilepsy in a pediatric population in Quito-Ecuador. Rev Ecuatoriana Pediatr. 2021;22(3):1-6. DOI: </w:t>
      </w:r>
      <w:hyperlink r:id="rId42" w:history="1">
        <w:r w:rsidRPr="00B53F3A">
          <w:rPr>
            <w:rStyle w:val="Hipervnculo"/>
            <w:rFonts w:ascii="Arial" w:hAnsi="Arial" w:cs="Arial"/>
            <w:sz w:val="24"/>
            <w:szCs w:val="24"/>
          </w:rPr>
          <w:t>https://doi.org/10.52011/121</w:t>
        </w:r>
      </w:hyperlink>
    </w:p>
    <w:p w14:paraId="2FF14B5C"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26. Jokiranta E, Sourander A, Suominen A, Timonen-Soivio L, Brown AS, Sillanpää M. Epilepsy Among Children and Adolescents with Autism Spectrum Disorders: A Population-Based Study. J Autism Develop Disord. 2014 [acceso 7/2/2022]; 44(10):2547–2557. DOI: </w:t>
      </w:r>
      <w:hyperlink r:id="rId43" w:history="1">
        <w:r w:rsidRPr="00B53F3A">
          <w:rPr>
            <w:rStyle w:val="Hipervnculo"/>
            <w:rFonts w:ascii="Arial" w:hAnsi="Arial" w:cs="Arial"/>
            <w:sz w:val="24"/>
            <w:szCs w:val="24"/>
          </w:rPr>
          <w:t>https://doi.org/10.1007/s10803-014-2126-6</w:t>
        </w:r>
      </w:hyperlink>
    </w:p>
    <w:p w14:paraId="56E4D898"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419"/>
        </w:rPr>
      </w:pPr>
      <w:r w:rsidRPr="00B53F3A">
        <w:rPr>
          <w:rFonts w:ascii="Arial" w:hAnsi="Arial" w:cs="Arial"/>
          <w:sz w:val="24"/>
          <w:szCs w:val="24"/>
          <w:lang w:val="es-419"/>
        </w:rPr>
        <w:t xml:space="preserve">27. </w:t>
      </w:r>
      <w:r w:rsidRPr="00B53F3A">
        <w:rPr>
          <w:rFonts w:ascii="Arial" w:hAnsi="Arial" w:cs="Arial"/>
          <w:sz w:val="24"/>
          <w:szCs w:val="24"/>
          <w:lang w:val="es-ES"/>
        </w:rPr>
        <w:t xml:space="preserve">Borja-Delgado D. Influencia de los trastornos genéticos asociados al trastorno autista en niños menores de 12 años en Guayaquil 2015-2016 [tesis]. Guayaquil: Universidad de Guayaquil, Facultad de Ciencias Médicas, Escuela de Medicina; 2016 [acceso 7/2/2022]. Disponible en: </w:t>
      </w:r>
      <w:hyperlink r:id="rId44" w:history="1">
        <w:r w:rsidRPr="00B53F3A">
          <w:rPr>
            <w:rStyle w:val="Hipervnculo"/>
            <w:rFonts w:ascii="Arial" w:hAnsi="Arial" w:cs="Arial"/>
            <w:sz w:val="24"/>
            <w:szCs w:val="24"/>
            <w:lang w:val="es-ES"/>
          </w:rPr>
          <w:t>http://repositorio.ug.edu.ec/handle/redg/20826</w:t>
        </w:r>
      </w:hyperlink>
    </w:p>
    <w:p w14:paraId="245626B2"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419"/>
        </w:rPr>
      </w:pPr>
      <w:r w:rsidRPr="00B53F3A">
        <w:rPr>
          <w:rFonts w:ascii="Arial" w:hAnsi="Arial" w:cs="Arial"/>
          <w:sz w:val="24"/>
          <w:szCs w:val="24"/>
          <w:lang w:val="es-419"/>
        </w:rPr>
        <w:lastRenderedPageBreak/>
        <w:t xml:space="preserve">28. </w:t>
      </w:r>
      <w:r w:rsidRPr="00B53F3A">
        <w:rPr>
          <w:rFonts w:ascii="Arial" w:hAnsi="Arial" w:cs="Arial"/>
          <w:sz w:val="24"/>
          <w:szCs w:val="24"/>
          <w:lang w:val="es-ES"/>
        </w:rPr>
        <w:t xml:space="preserve">Aguila F, Albornoz J, Conejero J, Yohannessen K. Prevalencia de factores de riesgo ambientales prenatales </w:t>
      </w:r>
      <w:bookmarkStart w:id="2" w:name="_Hlk120310161"/>
      <w:r w:rsidRPr="00B53F3A">
        <w:rPr>
          <w:rFonts w:ascii="Arial" w:hAnsi="Arial" w:cs="Arial"/>
          <w:sz w:val="24"/>
          <w:szCs w:val="24"/>
          <w:lang w:val="es-ES"/>
        </w:rPr>
        <w:t>en niños con trastornos del espectro autista controlados en un hospital de niños</w:t>
      </w:r>
      <w:bookmarkEnd w:id="2"/>
      <w:r w:rsidRPr="00B53F3A">
        <w:rPr>
          <w:rFonts w:ascii="Arial" w:hAnsi="Arial" w:cs="Arial"/>
          <w:sz w:val="24"/>
          <w:szCs w:val="24"/>
          <w:lang w:val="es-ES"/>
        </w:rPr>
        <w:t xml:space="preserve">. Rev Pediatr Electrón. 2020 [acceso 07/02/2022];17(3):1-11. Disponible en: </w:t>
      </w:r>
      <w:hyperlink r:id="rId45" w:history="1">
        <w:r w:rsidRPr="00B53F3A">
          <w:rPr>
            <w:rStyle w:val="Hipervnculo"/>
            <w:rFonts w:ascii="Arial" w:hAnsi="Arial" w:cs="Arial"/>
            <w:sz w:val="24"/>
            <w:szCs w:val="24"/>
            <w:lang w:val="es-ES"/>
          </w:rPr>
          <w:t>http://www.revistapediatria.cl/volumenes/2020/vol17num3/2.html</w:t>
        </w:r>
      </w:hyperlink>
    </w:p>
    <w:p w14:paraId="18174E96"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lang w:val="es-419"/>
        </w:rPr>
        <w:t xml:space="preserve">29. </w:t>
      </w:r>
      <w:r w:rsidRPr="00B53F3A">
        <w:rPr>
          <w:rFonts w:ascii="Arial" w:hAnsi="Arial" w:cs="Arial"/>
          <w:sz w:val="24"/>
          <w:szCs w:val="24"/>
          <w:lang w:val="es-ES"/>
        </w:rPr>
        <w:t xml:space="preserve">Guillen-Pinto D, González-Catherine V, Vidal W, Santivañez C, Vila J, Juárez T, </w:t>
      </w:r>
      <w:r w:rsidRPr="00B53F3A">
        <w:rPr>
          <w:rFonts w:ascii="Arial" w:hAnsi="Arial" w:cs="Arial"/>
          <w:iCs/>
          <w:sz w:val="24"/>
          <w:szCs w:val="24"/>
          <w:lang w:val="es-ES"/>
        </w:rPr>
        <w:t>et al.</w:t>
      </w:r>
      <w:r w:rsidRPr="00B53F3A">
        <w:rPr>
          <w:rFonts w:ascii="Arial" w:hAnsi="Arial" w:cs="Arial"/>
          <w:sz w:val="24"/>
          <w:szCs w:val="24"/>
          <w:lang w:val="es-ES"/>
        </w:rPr>
        <w:t xml:space="preserve"> Epilepsia en niños atendidos en el Hospital Nacional Cayetano Heredia de Lima, Perú, 2010-2016: Lima, Peru, 2010-2016. Rev Neuropsiquiatr. 2018 [acceso 20/2/2022];81(4):217-225. Disponible en:</w:t>
      </w:r>
      <w:hyperlink r:id="rId46" w:history="1">
        <w:r w:rsidRPr="00B53F3A">
          <w:rPr>
            <w:rStyle w:val="Hipervnculo"/>
            <w:rFonts w:ascii="Arial" w:hAnsi="Arial" w:cs="Arial"/>
            <w:sz w:val="24"/>
            <w:szCs w:val="24"/>
            <w:lang w:val="es-ES"/>
          </w:rPr>
          <w:t>http://www.scielo.org.pe/scielo.php?script=sci_arttext&amp;pid=S0034-85972018000400002&amp;lng=es</w:t>
        </w:r>
      </w:hyperlink>
      <w:r w:rsidRPr="00B53F3A">
        <w:rPr>
          <w:rFonts w:ascii="Arial" w:hAnsi="Arial" w:cs="Arial"/>
          <w:sz w:val="24"/>
          <w:szCs w:val="24"/>
          <w:lang w:val="es-ES"/>
        </w:rPr>
        <w:t xml:space="preserve">. </w:t>
      </w:r>
      <w:hyperlink r:id="rId47" w:history="1">
        <w:r w:rsidRPr="00B53F3A">
          <w:rPr>
            <w:rStyle w:val="Hipervnculo"/>
            <w:rFonts w:ascii="Arial" w:hAnsi="Arial" w:cs="Arial"/>
            <w:sz w:val="24"/>
            <w:szCs w:val="24"/>
          </w:rPr>
          <w:t>http://dx.doi.org/10.20453/rnp.v81i4.3436</w:t>
        </w:r>
      </w:hyperlink>
    </w:p>
    <w:p w14:paraId="512E94C0"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rPr>
      </w:pPr>
      <w:r w:rsidRPr="00B53F3A">
        <w:rPr>
          <w:rFonts w:ascii="Arial" w:hAnsi="Arial" w:cs="Arial"/>
          <w:sz w:val="24"/>
          <w:szCs w:val="24"/>
        </w:rPr>
        <w:t xml:space="preserve">30. Ropper AH, Samuels MA, Klein JP, Prasad S, editors. </w:t>
      </w:r>
      <w:r w:rsidRPr="00B53F3A">
        <w:rPr>
          <w:rFonts w:ascii="Arial" w:hAnsi="Arial" w:cs="Arial"/>
          <w:sz w:val="24"/>
          <w:szCs w:val="24"/>
          <w:lang w:val="es-419"/>
        </w:rPr>
        <w:t xml:space="preserve">Adams y Victor. </w:t>
      </w:r>
      <w:r w:rsidRPr="00B53F3A">
        <w:rPr>
          <w:rFonts w:ascii="Arial" w:hAnsi="Arial" w:cs="Arial"/>
          <w:sz w:val="24"/>
          <w:szCs w:val="24"/>
          <w:lang w:val="es-ES"/>
        </w:rPr>
        <w:t xml:space="preserve">Principios de neurología. </w:t>
      </w:r>
      <w:r w:rsidRPr="00B53F3A">
        <w:rPr>
          <w:rFonts w:ascii="Arial" w:hAnsi="Arial" w:cs="Arial"/>
          <w:sz w:val="24"/>
          <w:szCs w:val="24"/>
        </w:rPr>
        <w:t>11ma</w:t>
      </w:r>
      <w:r w:rsidRPr="00B53F3A">
        <w:rPr>
          <w:rFonts w:ascii="Arial" w:hAnsi="Arial" w:cs="Arial"/>
          <w:sz w:val="24"/>
          <w:szCs w:val="24"/>
          <w:vertAlign w:val="superscript"/>
        </w:rPr>
        <w:t xml:space="preserve"> </w:t>
      </w:r>
      <w:r w:rsidRPr="00B53F3A">
        <w:rPr>
          <w:rFonts w:ascii="Arial" w:hAnsi="Arial" w:cs="Arial"/>
          <w:sz w:val="24"/>
          <w:szCs w:val="24"/>
        </w:rPr>
        <w:t>ed. León: McGraw Hill; 2020.</w:t>
      </w:r>
    </w:p>
    <w:p w14:paraId="030D75CD" w14:textId="77777777" w:rsidR="00F726BD" w:rsidRPr="00B53F3A" w:rsidRDefault="00F726BD" w:rsidP="00F726BD">
      <w:pPr>
        <w:pStyle w:val="Prrafodelista"/>
        <w:spacing w:after="0" w:line="360" w:lineRule="auto"/>
        <w:ind w:left="0"/>
        <w:contextualSpacing w:val="0"/>
        <w:jc w:val="both"/>
        <w:rPr>
          <w:rFonts w:ascii="Arial" w:hAnsi="Arial" w:cs="Arial"/>
          <w:sz w:val="24"/>
          <w:szCs w:val="24"/>
          <w:lang w:val="es-419"/>
        </w:rPr>
      </w:pPr>
      <w:r w:rsidRPr="00B53F3A">
        <w:rPr>
          <w:rFonts w:ascii="Arial" w:hAnsi="Arial" w:cs="Arial"/>
          <w:sz w:val="24"/>
          <w:szCs w:val="24"/>
          <w:lang w:val="es-419"/>
        </w:rPr>
        <w:t xml:space="preserve">31. </w:t>
      </w:r>
      <w:r w:rsidRPr="00B53F3A">
        <w:rPr>
          <w:rFonts w:ascii="Arial" w:hAnsi="Arial" w:cs="Arial"/>
          <w:sz w:val="24"/>
          <w:szCs w:val="24"/>
          <w:lang w:val="es-ES"/>
        </w:rPr>
        <w:t xml:space="preserve">Utria-Rodriguez OE, Nieto-Capador D. Factores de riesgo perinatal asociados al trastorno del espectro autista y al síndrome de Rett. Psychologia. Avances de la Disciplina. 2021;14(2):13-26. </w:t>
      </w:r>
      <w:r w:rsidRPr="00B53F3A">
        <w:rPr>
          <w:rFonts w:ascii="Arial" w:hAnsi="Arial" w:cs="Arial"/>
          <w:sz w:val="24"/>
          <w:szCs w:val="24"/>
          <w:lang w:val="es-419"/>
        </w:rPr>
        <w:t xml:space="preserve">DOI: </w:t>
      </w:r>
      <w:hyperlink r:id="rId48" w:history="1">
        <w:r w:rsidRPr="00B53F3A">
          <w:rPr>
            <w:rStyle w:val="Hipervnculo"/>
            <w:rFonts w:ascii="Arial" w:hAnsi="Arial" w:cs="Arial"/>
            <w:sz w:val="24"/>
            <w:szCs w:val="24"/>
            <w:lang w:val="es-ES"/>
          </w:rPr>
          <w:t>https://doi.org/10.21500/19002386.4595</w:t>
        </w:r>
      </w:hyperlink>
    </w:p>
    <w:p w14:paraId="366CEA1A" w14:textId="77777777" w:rsidR="00F726BD" w:rsidRPr="00B53F3A" w:rsidRDefault="00F726BD" w:rsidP="00F726BD">
      <w:pPr>
        <w:spacing w:after="0" w:line="360" w:lineRule="auto"/>
        <w:jc w:val="both"/>
        <w:rPr>
          <w:rFonts w:ascii="Arial" w:hAnsi="Arial" w:cs="Arial"/>
          <w:sz w:val="24"/>
          <w:szCs w:val="24"/>
          <w:lang w:val="es-ES"/>
        </w:rPr>
      </w:pPr>
    </w:p>
    <w:p w14:paraId="0B5DBCDF" w14:textId="77777777" w:rsidR="00F726BD" w:rsidRPr="00B53F3A" w:rsidRDefault="00F726BD" w:rsidP="00F726BD">
      <w:pPr>
        <w:spacing w:after="0" w:line="360" w:lineRule="auto"/>
        <w:jc w:val="both"/>
        <w:rPr>
          <w:rFonts w:ascii="Arial" w:hAnsi="Arial" w:cs="Arial"/>
          <w:b/>
          <w:sz w:val="24"/>
          <w:szCs w:val="24"/>
          <w:lang w:val="es-ES"/>
        </w:rPr>
      </w:pPr>
    </w:p>
    <w:sectPr w:rsidR="00F726BD" w:rsidRPr="00B53F3A" w:rsidSect="00C04705">
      <w:headerReference w:type="first" r:id="rId49"/>
      <w:footerReference w:type="first" r:id="rId50"/>
      <w:footnotePr>
        <w:numFmt w:val="lowerLetter"/>
      </w:footnotePr>
      <w:type w:val="continuous"/>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9BF4" w14:textId="77777777" w:rsidR="002515A2" w:rsidRDefault="002515A2">
      <w:pPr>
        <w:spacing w:after="0" w:line="240" w:lineRule="auto"/>
      </w:pPr>
      <w:r>
        <w:separator/>
      </w:r>
    </w:p>
  </w:endnote>
  <w:endnote w:type="continuationSeparator" w:id="0">
    <w:p w14:paraId="4BC0DD0B" w14:textId="77777777" w:rsidR="002515A2" w:rsidRDefault="0025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8326" w14:textId="14AD837F" w:rsidR="00C04705" w:rsidRDefault="00C04705">
    <w:pPr>
      <w:pStyle w:val="Piedepgina"/>
    </w:pPr>
    <w:r>
      <w:rPr>
        <w:rStyle w:val="Refdenotaalpie"/>
        <w:rFonts w:ascii="Arial" w:hAnsi="Arial" w:cs="Arial"/>
        <w:sz w:val="18"/>
        <w:lang w:val="es-ES"/>
      </w:rPr>
      <w:t>b</w:t>
    </w:r>
    <w:r>
      <w:rPr>
        <w:rFonts w:ascii="Arial" w:hAnsi="Arial" w:cs="Arial"/>
        <w:sz w:val="18"/>
        <w:lang w:val="es-ES"/>
      </w:rPr>
      <w:t xml:space="preserve"> Esta investigación se encuentra publicada en </w:t>
    </w:r>
    <w:r w:rsidRPr="00C04705">
      <w:rPr>
        <w:rFonts w:ascii="Arial" w:hAnsi="Arial" w:cs="Arial"/>
        <w:sz w:val="18"/>
        <w:lang w:val="es-ES"/>
      </w:rPr>
      <w:t>Revista Cubana de Pediatría. 2023;95:e2078</w:t>
    </w:r>
  </w:p>
  <w:p w14:paraId="1B7403D5" w14:textId="0B3D6D29" w:rsidR="00C04705" w:rsidRDefault="00C04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C36F" w14:textId="77777777" w:rsidR="002515A2" w:rsidRDefault="002515A2">
      <w:pPr>
        <w:spacing w:after="0" w:line="240" w:lineRule="auto"/>
      </w:pPr>
      <w:r>
        <w:separator/>
      </w:r>
    </w:p>
  </w:footnote>
  <w:footnote w:type="continuationSeparator" w:id="0">
    <w:p w14:paraId="0F1D8C69" w14:textId="77777777" w:rsidR="002515A2" w:rsidRDefault="00251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B1BC" w14:textId="17B4E29D" w:rsidR="00C04705" w:rsidRPr="00C04705" w:rsidRDefault="00C04705" w:rsidP="00C04705">
    <w:pPr>
      <w:autoSpaceDE w:val="0"/>
      <w:autoSpaceDN w:val="0"/>
      <w:adjustRightInd w:val="0"/>
      <w:spacing w:after="0" w:line="240" w:lineRule="auto"/>
      <w:rPr>
        <w:rFonts w:ascii="Times New Roman" w:hAnsi="Times New Roman" w:cs="Times New Roman"/>
        <w:color w:val="000000"/>
        <w:sz w:val="24"/>
        <w:szCs w:val="24"/>
        <w:lang w:val="es-ES"/>
      </w:rPr>
    </w:pPr>
    <w:r>
      <w:rPr>
        <w:noProof/>
      </w:rPr>
      <w:drawing>
        <wp:inline distT="0" distB="0" distL="0" distR="0" wp14:anchorId="11665171" wp14:editId="0AFD8499">
          <wp:extent cx="6332220" cy="594360"/>
          <wp:effectExtent l="0" t="0" r="0" b="0"/>
          <wp:docPr id="2"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cstate="print"/>
                  <a:srcRect/>
                  <a:stretch/>
                </pic:blipFill>
                <pic:spPr>
                  <a:xfrm>
                    <a:off x="0" y="0"/>
                    <a:ext cx="6332220" cy="594360"/>
                  </a:xfrm>
                  <a:prstGeom prst="rect">
                    <a:avLst/>
                  </a:prstGeom>
                  <a:ln>
                    <a:noFill/>
                  </a:ln>
                </pic:spPr>
              </pic:pic>
            </a:graphicData>
          </a:graphic>
        </wp:inline>
      </w:drawing>
    </w:r>
  </w:p>
  <w:p w14:paraId="20D3E346" w14:textId="154CF76F" w:rsidR="00C04705" w:rsidRDefault="00C04705" w:rsidP="00C047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E226B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06B93"/>
    <w:multiLevelType w:val="hybridMultilevel"/>
    <w:tmpl w:val="4E38346C"/>
    <w:lvl w:ilvl="0" w:tplc="FFFFFFF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9F0C01"/>
    <w:multiLevelType w:val="hybridMultilevel"/>
    <w:tmpl w:val="3A1A6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014519"/>
    <w:multiLevelType w:val="hybridMultilevel"/>
    <w:tmpl w:val="7E8C4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475C7A"/>
    <w:multiLevelType w:val="hybridMultilevel"/>
    <w:tmpl w:val="CFA8FC7E"/>
    <w:lvl w:ilvl="0" w:tplc="2EE67C10">
      <w:start w:val="1"/>
      <w:numFmt w:val="bullet"/>
      <w:lvlText w:val="—"/>
      <w:lvlJc w:val="left"/>
      <w:pPr>
        <w:ind w:left="720" w:hanging="360"/>
      </w:pPr>
      <w:rPr>
        <w:rFonts w:ascii="Trebuchet MS" w:eastAsia="Calibri" w:hAnsi="Trebuchet M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36449"/>
    <w:multiLevelType w:val="hybridMultilevel"/>
    <w:tmpl w:val="3CB42F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ACA27BD"/>
    <w:multiLevelType w:val="hybridMultilevel"/>
    <w:tmpl w:val="73224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0118">
    <w:abstractNumId w:val="4"/>
  </w:num>
  <w:num w:numId="2" w16cid:durableId="279998293">
    <w:abstractNumId w:val="0"/>
  </w:num>
  <w:num w:numId="3" w16cid:durableId="473259006">
    <w:abstractNumId w:val="6"/>
  </w:num>
  <w:num w:numId="4" w16cid:durableId="2045788923">
    <w:abstractNumId w:val="2"/>
  </w:num>
  <w:num w:numId="5" w16cid:durableId="1625427596">
    <w:abstractNumId w:val="5"/>
  </w:num>
  <w:num w:numId="6" w16cid:durableId="816803960">
    <w:abstractNumId w:val="3"/>
  </w:num>
  <w:num w:numId="7" w16cid:durableId="181194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36"/>
    <w:rsid w:val="00051D01"/>
    <w:rsid w:val="00052235"/>
    <w:rsid w:val="001A410A"/>
    <w:rsid w:val="001F267C"/>
    <w:rsid w:val="00203647"/>
    <w:rsid w:val="002515A2"/>
    <w:rsid w:val="00251DCC"/>
    <w:rsid w:val="00360C55"/>
    <w:rsid w:val="007862FC"/>
    <w:rsid w:val="00885736"/>
    <w:rsid w:val="009D7BCE"/>
    <w:rsid w:val="00A47D24"/>
    <w:rsid w:val="00BE4F0B"/>
    <w:rsid w:val="00C04705"/>
    <w:rsid w:val="00C939A3"/>
    <w:rsid w:val="00D52E91"/>
    <w:rsid w:val="00DF5B66"/>
    <w:rsid w:val="00F44D53"/>
    <w:rsid w:val="00F726BD"/>
    <w:rsid w:val="00FB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E090C"/>
  <w15:docId w15:val="{7333D49F-B4A7-40BF-8241-76B9DB48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Bibliografa">
    <w:name w:val="Bibliography"/>
    <w:basedOn w:val="Normal"/>
    <w:next w:val="Normal"/>
    <w:uiPriority w:val="37"/>
    <w:pPr>
      <w:tabs>
        <w:tab w:val="left" w:pos="384"/>
      </w:tabs>
      <w:spacing w:after="240" w:line="240" w:lineRule="auto"/>
      <w:ind w:left="384" w:hanging="384"/>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563C1"/>
      <w:u w:val="single"/>
    </w:rPr>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rPr>
      <w:vertAlign w:val="superscript"/>
    </w:rPr>
  </w:style>
  <w:style w:type="table" w:styleId="Tablaconcuadrcula">
    <w:name w:val="Table Grid"/>
    <w:basedOn w:val="Tablanormal"/>
    <w:uiPriority w:val="39"/>
    <w:rsid w:val="00F726B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6BD"/>
    <w:pPr>
      <w:autoSpaceDE w:val="0"/>
      <w:autoSpaceDN w:val="0"/>
      <w:adjustRightInd w:val="0"/>
      <w:spacing w:after="0" w:line="240" w:lineRule="auto"/>
    </w:pPr>
    <w:rPr>
      <w:rFonts w:ascii="Arial" w:eastAsiaTheme="minorHAnsi" w:hAnsi="Arial" w:cs="Arial"/>
      <w:color w:val="000000"/>
      <w:sz w:val="24"/>
      <w:szCs w:val="24"/>
    </w:rPr>
  </w:style>
  <w:style w:type="character" w:styleId="Hipervnculovisitado">
    <w:name w:val="FollowedHyperlink"/>
    <w:basedOn w:val="Fuentedeprrafopredeter"/>
    <w:uiPriority w:val="99"/>
    <w:semiHidden/>
    <w:unhideWhenUsed/>
    <w:rsid w:val="00F726BD"/>
    <w:rPr>
      <w:color w:val="800080" w:themeColor="followedHyperlink"/>
      <w:u w:val="single"/>
    </w:rPr>
  </w:style>
  <w:style w:type="paragraph" w:styleId="Textodeglobo">
    <w:name w:val="Balloon Text"/>
    <w:basedOn w:val="Normal"/>
    <w:link w:val="TextodegloboCar"/>
    <w:uiPriority w:val="99"/>
    <w:semiHidden/>
    <w:unhideWhenUsed/>
    <w:rsid w:val="00F726B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726BD"/>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F726BD"/>
    <w:rPr>
      <w:sz w:val="16"/>
      <w:szCs w:val="16"/>
    </w:rPr>
  </w:style>
  <w:style w:type="paragraph" w:styleId="Textocomentario">
    <w:name w:val="annotation text"/>
    <w:basedOn w:val="Normal"/>
    <w:link w:val="TextocomentarioCar"/>
    <w:uiPriority w:val="99"/>
    <w:unhideWhenUsed/>
    <w:rsid w:val="00F726BD"/>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F726BD"/>
    <w:rPr>
      <w:rFonts w:asciiTheme="minorHAnsi" w:eastAsia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F726BD"/>
    <w:rPr>
      <w:b/>
      <w:bCs/>
    </w:rPr>
  </w:style>
  <w:style w:type="character" w:customStyle="1" w:styleId="AsuntodelcomentarioCar">
    <w:name w:val="Asunto del comentario Car"/>
    <w:basedOn w:val="TextocomentarioCar"/>
    <w:link w:val="Asuntodelcomentario"/>
    <w:uiPriority w:val="99"/>
    <w:semiHidden/>
    <w:rsid w:val="00F726BD"/>
    <w:rPr>
      <w:rFonts w:asciiTheme="minorHAnsi" w:eastAsiaTheme="minorHAnsi" w:hAnsiTheme="minorHAnsi" w:cstheme="minorBidi"/>
      <w:b/>
      <w:bCs/>
      <w:sz w:val="20"/>
      <w:szCs w:val="20"/>
    </w:rPr>
  </w:style>
  <w:style w:type="character" w:customStyle="1" w:styleId="Mencinsinresolver1">
    <w:name w:val="Mención sin resolver1"/>
    <w:basedOn w:val="Fuentedeprrafopredeter"/>
    <w:uiPriority w:val="99"/>
    <w:semiHidden/>
    <w:unhideWhenUsed/>
    <w:rsid w:val="00F726BD"/>
    <w:rPr>
      <w:color w:val="605E5C"/>
      <w:shd w:val="clear" w:color="auto" w:fill="E1DFDD"/>
    </w:rPr>
  </w:style>
  <w:style w:type="table" w:customStyle="1" w:styleId="Estilo1">
    <w:name w:val="Estilo1"/>
    <w:basedOn w:val="Tablaweb1"/>
    <w:uiPriority w:val="99"/>
    <w:rsid w:val="00F726BD"/>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F726BD"/>
    <w:rPr>
      <w:rFonts w:asciiTheme="minorHAnsi" w:eastAsiaTheme="minorHAnsi" w:hAnsiTheme="minorHAnsi"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F726BD"/>
    <w:pPr>
      <w:spacing w:after="0" w:line="240" w:lineRule="auto"/>
    </w:pPr>
    <w:rPr>
      <w:rFonts w:asciiTheme="minorHAnsi" w:eastAsiaTheme="minorHAnsi" w:hAnsiTheme="minorHAnsi" w:cstheme="minorBidi"/>
    </w:rPr>
  </w:style>
  <w:style w:type="character" w:styleId="Mencinsinresolver">
    <w:name w:val="Unresolved Mention"/>
    <w:basedOn w:val="Fuentedeprrafopredeter"/>
    <w:uiPriority w:val="99"/>
    <w:semiHidden/>
    <w:unhideWhenUsed/>
    <w:rsid w:val="00D52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azarohorta4@gmail.com" TargetMode="External"/><Relationship Id="rId18" Type="http://schemas.openxmlformats.org/officeDocument/2006/relationships/chart" Target="charts/chart2.xml"/><Relationship Id="rId26" Type="http://schemas.openxmlformats.org/officeDocument/2006/relationships/hyperlink" Target="https://www.who.int/es/news-room/fact-sheets/detail/epilepsy" TargetMode="External"/><Relationship Id="rId39" Type="http://schemas.openxmlformats.org/officeDocument/2006/relationships/hyperlink" Target="https://doi.org/10.18359/rmed.3990" TargetMode="External"/><Relationship Id="rId3" Type="http://schemas.openxmlformats.org/officeDocument/2006/relationships/styles" Target="styles.xml"/><Relationship Id="rId21" Type="http://schemas.openxmlformats.org/officeDocument/2006/relationships/hyperlink" Target="https://doi.org/10.1093/bmb/ldy026" TargetMode="External"/><Relationship Id="rId34" Type="http://schemas.openxmlformats.org/officeDocument/2006/relationships/hyperlink" Target="https://dsm.psychiatryonline.org/pb-assets/dsm/update/Spanish_DSM5Update2016.pdf" TargetMode="External"/><Relationship Id="rId42" Type="http://schemas.openxmlformats.org/officeDocument/2006/relationships/hyperlink" Target="https://doi.org/10.52011/121" TargetMode="External"/><Relationship Id="rId47" Type="http://schemas.openxmlformats.org/officeDocument/2006/relationships/hyperlink" Target="http://dx.doi.org/10.20453/rnp.v81i4.3436"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2-1618-5105" TargetMode="External"/><Relationship Id="rId17" Type="http://schemas.openxmlformats.org/officeDocument/2006/relationships/chart" Target="charts/chart1.xml"/><Relationship Id="rId25" Type="http://schemas.openxmlformats.org/officeDocument/2006/relationships/hyperlink" Target="https://doi.org/10.1111/epi.13670" TargetMode="External"/><Relationship Id="rId33" Type="http://schemas.openxmlformats.org/officeDocument/2006/relationships/hyperlink" Target="https://doi.org/10.1007/978-3-030-46295-6_2" TargetMode="External"/><Relationship Id="rId38" Type="http://schemas.openxmlformats.org/officeDocument/2006/relationships/hyperlink" Target="https://doi.org/10.1016/j.yebeh.2019.07.037" TargetMode="External"/><Relationship Id="rId46" Type="http://schemas.openxmlformats.org/officeDocument/2006/relationships/hyperlink" Target="http://www.scielo.org.pe/scielo.php?script=sci_arttext&amp;pid=S0034-85972018000400002&amp;lng=es" TargetMode="External"/><Relationship Id="rId2" Type="http://schemas.openxmlformats.org/officeDocument/2006/relationships/numbering" Target="numbering.xml"/><Relationship Id="rId16" Type="http://schemas.openxmlformats.org/officeDocument/2006/relationships/hyperlink" Target="mailto:4r2d2rodlop@gmail.com" TargetMode="External"/><Relationship Id="rId20" Type="http://schemas.openxmlformats.org/officeDocument/2006/relationships/hyperlink" Target="https://doi.org/10.21037/tp.2019.09.09" TargetMode="External"/><Relationship Id="rId29" Type="http://schemas.openxmlformats.org/officeDocument/2006/relationships/hyperlink" Target="https://doi.org/10.14744/TurkPediatriArs.2020.99266" TargetMode="External"/><Relationship Id="rId41" Type="http://schemas.openxmlformats.org/officeDocument/2006/relationships/hyperlink" Target="https://doi.org/10.3390/brainsci10050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4079-9545" TargetMode="External"/><Relationship Id="rId24" Type="http://schemas.openxmlformats.org/officeDocument/2006/relationships/hyperlink" Target="https://doi.org/10.1111/epi.12550" TargetMode="External"/><Relationship Id="rId32" Type="http://schemas.openxmlformats.org/officeDocument/2006/relationships/hyperlink" Target="https://doi.org/doi:10.1016/j.chc.2020.02.002" TargetMode="External"/><Relationship Id="rId37" Type="http://schemas.openxmlformats.org/officeDocument/2006/relationships/hyperlink" Target="https://doi.org/10.1002/aur.2132" TargetMode="External"/><Relationship Id="rId40" Type="http://schemas.openxmlformats.org/officeDocument/2006/relationships/hyperlink" Target="https://doi.org/10.21037/tp.2019.09.09" TargetMode="External"/><Relationship Id="rId45" Type="http://schemas.openxmlformats.org/officeDocument/2006/relationships/hyperlink" Target="http://www.revistapediatria.cl/volumenes/2020/vol17num3/2.html" TargetMode="External"/><Relationship Id="rId5" Type="http://schemas.openxmlformats.org/officeDocument/2006/relationships/webSettings" Target="webSettings.xml"/><Relationship Id="rId15" Type="http://schemas.openxmlformats.org/officeDocument/2006/relationships/hyperlink" Target="mailto:3melsora0916@gmail.com" TargetMode="External"/><Relationship Id="rId23" Type="http://schemas.openxmlformats.org/officeDocument/2006/relationships/hyperlink" Target="https://www.who.int/es/news-room/fact-sheets/detail/autism-spectrum-disorders" TargetMode="External"/><Relationship Id="rId28" Type="http://schemas.openxmlformats.org/officeDocument/2006/relationships/hyperlink" Target="https://doi.org/10.1177/13623613211045029" TargetMode="External"/><Relationship Id="rId36" Type="http://schemas.openxmlformats.org/officeDocument/2006/relationships/hyperlink" Target="https://www.wma.net/es/policies-post/declaracion-de-helsinki-de-la-amm-principios-eticos-para-las-investigaciones-medicas-en-seres-humanos/" TargetMode="External"/><Relationship Id="rId49" Type="http://schemas.openxmlformats.org/officeDocument/2006/relationships/header" Target="header1.xml"/><Relationship Id="rId10" Type="http://schemas.openxmlformats.org/officeDocument/2006/relationships/hyperlink" Target="https://orcid.org/0000-0002-2657-3267" TargetMode="External"/><Relationship Id="rId19" Type="http://schemas.openxmlformats.org/officeDocument/2006/relationships/hyperlink" Target="http://dx.doi.org/10.22201/facmed.14058871p.2019.4.70790" TargetMode="External"/><Relationship Id="rId31" Type="http://schemas.openxmlformats.org/officeDocument/2006/relationships/hyperlink" Target="https://doi.org/10.1111/dmcn.13598" TargetMode="External"/><Relationship Id="rId44" Type="http://schemas.openxmlformats.org/officeDocument/2006/relationships/hyperlink" Target="http://repositorio.ug.edu.ec/handle/redg/2082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2491-489X" TargetMode="External"/><Relationship Id="rId14" Type="http://schemas.openxmlformats.org/officeDocument/2006/relationships/hyperlink" Target="mailto:hectorpinera18100@gmail.com" TargetMode="External"/><Relationship Id="rId22" Type="http://schemas.openxmlformats.org/officeDocument/2006/relationships/hyperlink" Target="http://www.mmsjournals.org/index.php/mmj/article/view/290/1061" TargetMode="External"/><Relationship Id="rId27" Type="http://schemas.openxmlformats.org/officeDocument/2006/relationships/hyperlink" Target="https://doi.org/10.1159/000503831" TargetMode="External"/><Relationship Id="rId30" Type="http://schemas.openxmlformats.org/officeDocument/2006/relationships/hyperlink" Target="https://doi.org/10.1080/14737175.2019.1617699" TargetMode="External"/><Relationship Id="rId35" Type="http://schemas.openxmlformats.org/officeDocument/2006/relationships/hyperlink" Target="https://doi.org/10.1007/bf02408436" TargetMode="External"/><Relationship Id="rId43" Type="http://schemas.openxmlformats.org/officeDocument/2006/relationships/hyperlink" Target="https://doi.org/10.1007/s10803-014-2126-6" TargetMode="External"/><Relationship Id="rId48" Type="http://schemas.openxmlformats.org/officeDocument/2006/relationships/hyperlink" Target="https://doi.org/10.21500/19002386.4595" TargetMode="External"/><Relationship Id="rId8" Type="http://schemas.openxmlformats.org/officeDocument/2006/relationships/hyperlink" Target="https://orcid.org/0000-0001-7335-6903"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Masculino</c:v>
                </c:pt>
              </c:strCache>
            </c:strRef>
          </c:tx>
          <c:spPr>
            <a:solidFill>
              <a:schemeClr val="accent1">
                <a:lumMod val="60000"/>
                <a:lumOff val="40000"/>
              </a:schemeClr>
            </a:solidFill>
            <a:ln>
              <a:noFill/>
            </a:ln>
            <a:effectLst/>
          </c:spPr>
          <c:invertIfNegative val="0"/>
          <c:cat>
            <c:strRef>
              <c:f>Hoja1!$A$2:$A$8</c:f>
              <c:strCache>
                <c:ptCount val="7"/>
                <c:pt idx="0">
                  <c:v>Síndrome de Rett</c:v>
                </c:pt>
                <c:pt idx="1">
                  <c:v>Síndrome de Down</c:v>
                </c:pt>
                <c:pt idx="2">
                  <c:v>Síndrome de West</c:v>
                </c:pt>
                <c:pt idx="3">
                  <c:v>Síndrome de Angelman</c:v>
                </c:pt>
                <c:pt idx="4">
                  <c:v>LESNC-SOC</c:v>
                </c:pt>
                <c:pt idx="5">
                  <c:v>Síndrome de Lennox-Gastaut</c:v>
                </c:pt>
                <c:pt idx="6">
                  <c:v>Idiopático</c:v>
                </c:pt>
              </c:strCache>
            </c:strRef>
          </c:cat>
          <c:val>
            <c:numRef>
              <c:f>Hoja1!$B$2:$B$8</c:f>
              <c:numCache>
                <c:formatCode>General</c:formatCode>
                <c:ptCount val="7"/>
                <c:pt idx="0">
                  <c:v>0</c:v>
                </c:pt>
                <c:pt idx="1">
                  <c:v>0</c:v>
                </c:pt>
                <c:pt idx="2">
                  <c:v>1</c:v>
                </c:pt>
                <c:pt idx="3">
                  <c:v>1</c:v>
                </c:pt>
                <c:pt idx="4">
                  <c:v>2</c:v>
                </c:pt>
                <c:pt idx="5">
                  <c:v>0</c:v>
                </c:pt>
                <c:pt idx="6">
                  <c:v>5</c:v>
                </c:pt>
              </c:numCache>
            </c:numRef>
          </c:val>
          <c:extLst>
            <c:ext xmlns:c16="http://schemas.microsoft.com/office/drawing/2014/chart" uri="{C3380CC4-5D6E-409C-BE32-E72D297353CC}">
              <c16:uniqueId val="{00000000-2596-4042-B8BF-FCEC4AD5145A}"/>
            </c:ext>
          </c:extLst>
        </c:ser>
        <c:ser>
          <c:idx val="1"/>
          <c:order val="1"/>
          <c:tx>
            <c:strRef>
              <c:f>Hoja1!$C$1</c:f>
              <c:strCache>
                <c:ptCount val="1"/>
                <c:pt idx="0">
                  <c:v>Femenino</c:v>
                </c:pt>
              </c:strCache>
            </c:strRef>
          </c:tx>
          <c:spPr>
            <a:solidFill>
              <a:schemeClr val="accent2">
                <a:lumMod val="60000"/>
                <a:lumOff val="40000"/>
              </a:schemeClr>
            </a:solidFill>
            <a:ln>
              <a:noFill/>
            </a:ln>
            <a:effectLst/>
          </c:spPr>
          <c:invertIfNegative val="0"/>
          <c:cat>
            <c:strRef>
              <c:f>Hoja1!$A$2:$A$8</c:f>
              <c:strCache>
                <c:ptCount val="7"/>
                <c:pt idx="0">
                  <c:v>Síndrome de Rett</c:v>
                </c:pt>
                <c:pt idx="1">
                  <c:v>Síndrome de Down</c:v>
                </c:pt>
                <c:pt idx="2">
                  <c:v>Síndrome de West</c:v>
                </c:pt>
                <c:pt idx="3">
                  <c:v>Síndrome de Angelman</c:v>
                </c:pt>
                <c:pt idx="4">
                  <c:v>LESNC-SOC</c:v>
                </c:pt>
                <c:pt idx="5">
                  <c:v>Síndrome de Lennox-Gastaut</c:v>
                </c:pt>
                <c:pt idx="6">
                  <c:v>Idiopático</c:v>
                </c:pt>
              </c:strCache>
            </c:strRef>
          </c:cat>
          <c:val>
            <c:numRef>
              <c:f>Hoja1!$C$2:$C$8</c:f>
              <c:numCache>
                <c:formatCode>General</c:formatCode>
                <c:ptCount val="7"/>
                <c:pt idx="0">
                  <c:v>4</c:v>
                </c:pt>
                <c:pt idx="1">
                  <c:v>1</c:v>
                </c:pt>
                <c:pt idx="2">
                  <c:v>0</c:v>
                </c:pt>
                <c:pt idx="3">
                  <c:v>1</c:v>
                </c:pt>
                <c:pt idx="4">
                  <c:v>3</c:v>
                </c:pt>
                <c:pt idx="5">
                  <c:v>1</c:v>
                </c:pt>
                <c:pt idx="6">
                  <c:v>4</c:v>
                </c:pt>
              </c:numCache>
            </c:numRef>
          </c:val>
          <c:extLst>
            <c:ext xmlns:c16="http://schemas.microsoft.com/office/drawing/2014/chart" uri="{C3380CC4-5D6E-409C-BE32-E72D297353CC}">
              <c16:uniqueId val="{00000001-2596-4042-B8BF-FCEC4AD5145A}"/>
            </c:ext>
          </c:extLst>
        </c:ser>
        <c:dLbls>
          <c:showLegendKey val="0"/>
          <c:showVal val="0"/>
          <c:showCatName val="0"/>
          <c:showSerName val="0"/>
          <c:showPercent val="0"/>
          <c:showBubbleSize val="0"/>
        </c:dLbls>
        <c:gapWidth val="182"/>
        <c:axId val="122107392"/>
        <c:axId val="122118912"/>
      </c:barChart>
      <c:catAx>
        <c:axId val="122107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rebuchet MS" panose="020B0603020202020204" pitchFamily="34" charset="0"/>
                <a:ea typeface="+mn-ea"/>
                <a:cs typeface="Arial" panose="020B0604020202020204" pitchFamily="34" charset="0"/>
              </a:defRPr>
            </a:pPr>
            <a:endParaRPr lang="es-ES"/>
          </a:p>
        </c:txPr>
        <c:crossAx val="122118912"/>
        <c:crosses val="autoZero"/>
        <c:auto val="1"/>
        <c:lblAlgn val="ctr"/>
        <c:lblOffset val="100"/>
        <c:noMultiLvlLbl val="0"/>
      </c:catAx>
      <c:valAx>
        <c:axId val="122118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12210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rebuchet MS" panose="020B0603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310820624546131E-2"/>
          <c:y val="8.1140328215035876E-2"/>
          <c:w val="0.36318120910267493"/>
          <c:h val="0.8560921967493007"/>
        </c:manualLayout>
      </c:layout>
      <c:pieChart>
        <c:varyColors val="1"/>
        <c:ser>
          <c:idx val="0"/>
          <c:order val="0"/>
          <c:tx>
            <c:strRef>
              <c:f>Hoja1!$B$1</c:f>
              <c:strCache>
                <c:ptCount val="1"/>
                <c:pt idx="0">
                  <c:v>Columna1</c:v>
                </c:pt>
              </c:strCache>
            </c:strRef>
          </c:tx>
          <c:dPt>
            <c:idx val="0"/>
            <c:bubble3D val="0"/>
            <c:spPr>
              <a:solidFill>
                <a:srgbClr val="ED7D31">
                  <a:lumMod val="60000"/>
                  <a:lumOff val="40000"/>
                </a:srgbClr>
              </a:solidFill>
              <a:ln w="19050">
                <a:solidFill>
                  <a:schemeClr val="lt1"/>
                </a:solidFill>
              </a:ln>
              <a:effectLst/>
            </c:spPr>
            <c:extLst>
              <c:ext xmlns:c16="http://schemas.microsoft.com/office/drawing/2014/chart" uri="{C3380CC4-5D6E-409C-BE32-E72D297353CC}">
                <c16:uniqueId val="{00000001-EC0F-49A8-9946-D6600E0A751B}"/>
              </c:ext>
            </c:extLst>
          </c:dPt>
          <c:dPt>
            <c:idx val="1"/>
            <c:bubble3D val="0"/>
            <c:spPr>
              <a:solidFill>
                <a:srgbClr val="5B9BD5">
                  <a:lumMod val="60000"/>
                  <a:lumOff val="40000"/>
                </a:srgbClr>
              </a:solidFill>
              <a:ln w="19050">
                <a:solidFill>
                  <a:schemeClr val="lt1"/>
                </a:solidFill>
              </a:ln>
              <a:effectLst/>
            </c:spPr>
            <c:extLst>
              <c:ext xmlns:c16="http://schemas.microsoft.com/office/drawing/2014/chart" uri="{C3380CC4-5D6E-409C-BE32-E72D297353CC}">
                <c16:uniqueId val="{00000003-EC0F-49A8-9946-D6600E0A751B}"/>
              </c:ext>
            </c:extLst>
          </c:dPt>
          <c:dPt>
            <c:idx val="2"/>
            <c:bubble3D val="0"/>
            <c:spPr>
              <a:solidFill>
                <a:srgbClr val="FFC000">
                  <a:lumMod val="60000"/>
                  <a:lumOff val="40000"/>
                </a:srgbClr>
              </a:solidFill>
              <a:ln w="19050">
                <a:solidFill>
                  <a:schemeClr val="lt1"/>
                </a:solidFill>
              </a:ln>
              <a:effectLst/>
            </c:spPr>
            <c:extLst>
              <c:ext xmlns:c16="http://schemas.microsoft.com/office/drawing/2014/chart" uri="{C3380CC4-5D6E-409C-BE32-E72D297353CC}">
                <c16:uniqueId val="{00000005-EC0F-49A8-9946-D6600E0A75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0F-49A8-9946-D6600E0A751B}"/>
              </c:ext>
            </c:extLst>
          </c:dPt>
          <c:dLbls>
            <c:dLbl>
              <c:idx val="0"/>
              <c:tx>
                <c:rich>
                  <a:bodyPr/>
                  <a:lstStyle/>
                  <a:p>
                    <a:r>
                      <a:rPr lang="en-US"/>
                      <a:t>26,1 %</a:t>
                    </a:r>
                  </a:p>
                  <a:p>
                    <a:r>
                      <a:rPr lang="en-US"/>
                      <a:t>n = 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C0F-49A8-9946-D6600E0A751B}"/>
                </c:ext>
              </c:extLst>
            </c:dLbl>
            <c:dLbl>
              <c:idx val="1"/>
              <c:tx>
                <c:rich>
                  <a:bodyPr/>
                  <a:lstStyle/>
                  <a:p>
                    <a:r>
                      <a:rPr lang="en-US"/>
                      <a:t>56,5 %</a:t>
                    </a:r>
                  </a:p>
                  <a:p>
                    <a:r>
                      <a:rPr lang="en-US"/>
                      <a:t>n = 13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C0F-49A8-9946-D6600E0A751B}"/>
                </c:ext>
              </c:extLst>
            </c:dLbl>
            <c:dLbl>
              <c:idx val="2"/>
              <c:tx>
                <c:rich>
                  <a:bodyPr/>
                  <a:lstStyle/>
                  <a:p>
                    <a:r>
                      <a:rPr lang="en-US"/>
                      <a:t>17,4 %</a:t>
                    </a:r>
                  </a:p>
                  <a:p>
                    <a:r>
                      <a:rPr lang="en-US"/>
                      <a:t>n = 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C0F-49A8-9946-D6600E0A751B}"/>
                </c:ext>
              </c:extLst>
            </c:dLbl>
            <c:dLbl>
              <c:idx val="3"/>
              <c:delete val="1"/>
              <c:extLst>
                <c:ext xmlns:c15="http://schemas.microsoft.com/office/drawing/2012/chart" uri="{CE6537A1-D6FC-4f65-9D91-7224C49458BB}"/>
                <c:ext xmlns:c16="http://schemas.microsoft.com/office/drawing/2014/chart" uri="{C3380CC4-5D6E-409C-BE32-E72D297353CC}">
                  <c16:uniqueId val="{00000007-EC0F-49A8-9946-D6600E0A751B}"/>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3"/>
                <c:pt idx="0">
                  <c:v>Pacientes diagnosticados con TEA antes de su primera crisis epiléptica</c:v>
                </c:pt>
                <c:pt idx="1">
                  <c:v>Pacientes con primera crisis epiléptica antes del diagnóstico del TEA </c:v>
                </c:pt>
                <c:pt idx="2">
                  <c:v>Pacientes con diagnóstico del TEA y la primera crisis epiléptica simultáneos </c:v>
                </c:pt>
              </c:strCache>
            </c:strRef>
          </c:cat>
          <c:val>
            <c:numRef>
              <c:f>Hoja1!$B$2:$B$5</c:f>
              <c:numCache>
                <c:formatCode>General</c:formatCode>
                <c:ptCount val="4"/>
                <c:pt idx="0">
                  <c:v>26.1</c:v>
                </c:pt>
                <c:pt idx="1">
                  <c:v>56.5</c:v>
                </c:pt>
                <c:pt idx="2">
                  <c:v>17.399999999999999</c:v>
                </c:pt>
              </c:numCache>
            </c:numRef>
          </c:val>
          <c:extLst>
            <c:ext xmlns:c16="http://schemas.microsoft.com/office/drawing/2014/chart" uri="{C3380CC4-5D6E-409C-BE32-E72D297353CC}">
              <c16:uniqueId val="{00000008-EC0F-49A8-9946-D6600E0A751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lgn="just">
              <a:defRPr sz="900" b="0" i="0" u="none" strike="noStrike" kern="1200" baseline="0">
                <a:solidFill>
                  <a:sysClr val="windowText" lastClr="000000"/>
                </a:solidFill>
                <a:latin typeface="Trebuchet MS" panose="020B0603020202020204" pitchFamily="34" charset="0"/>
                <a:ea typeface="+mn-ea"/>
                <a:cs typeface="+mn-cs"/>
              </a:defRPr>
            </a:pPr>
            <a:endParaRPr lang="es-ES"/>
          </a:p>
        </c:txPr>
      </c:legendEntry>
      <c:legendEntry>
        <c:idx val="3"/>
        <c:delete val="1"/>
      </c:legendEntry>
      <c:layout>
        <c:manualLayout>
          <c:xMode val="edge"/>
          <c:yMode val="edge"/>
          <c:x val="0.40744052154770971"/>
          <c:y val="9.4719295198394324E-2"/>
          <c:w val="0.56518381170095666"/>
          <c:h val="0.78291213138798843"/>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ysClr val="windowText" lastClr="000000"/>
              </a:solidFill>
              <a:latin typeface="Trebuchet MS" panose="020B0603020202020204" pitchFamily="34" charset="0"/>
              <a:ea typeface="+mn-ea"/>
              <a:cs typeface="+mn-cs"/>
            </a:defRPr>
          </a:pPr>
          <a:endParaRPr lang="es-E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rebuchet MS" panose="020B0603020202020204" pitchFamily="34" charset="0"/>
        </a:defRPr>
      </a:pPr>
      <a:endParaRPr lang="es-E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EEA2-EB70-455A-8808-D6733DE8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4138</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Elinil</cp:lastModifiedBy>
  <cp:revision>10</cp:revision>
  <dcterms:created xsi:type="dcterms:W3CDTF">2023-03-11T23:13:00Z</dcterms:created>
  <dcterms:modified xsi:type="dcterms:W3CDTF">2023-03-12T18:15:00Z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id="2Np8SSdw"/&gt;&lt;style id="http://www.zotero.org/styles/vancouver" locale="es-ES"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